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D45E4" w14:textId="7B1EAA49" w:rsidR="00BC16EB" w:rsidRDefault="005714A1">
      <w:pPr>
        <w:spacing w:line="480" w:lineRule="auto"/>
        <w:rPr>
          <w:rFonts w:ascii="Times New Roman" w:eastAsia="Times New Roman" w:hAnsi="Times New Roman" w:cs="Times New Roman"/>
          <w:b/>
          <w:i/>
        </w:rPr>
      </w:pPr>
      <w:r>
        <w:rPr>
          <w:rFonts w:ascii="Times New Roman" w:eastAsia="Times New Roman" w:hAnsi="Times New Roman" w:cs="Times New Roman"/>
          <w:b/>
          <w:sz w:val="24"/>
          <w:szCs w:val="24"/>
        </w:rPr>
        <w:t>Table S1</w:t>
      </w:r>
      <w:r>
        <w:rPr>
          <w:rFonts w:ascii="Times New Roman" w:eastAsia="Times New Roman" w:hAnsi="Times New Roman" w:cs="Times New Roman"/>
          <w:b/>
          <w:sz w:val="24"/>
          <w:szCs w:val="24"/>
        </w:rPr>
        <w:t xml:space="preserve">. </w:t>
      </w:r>
      <w:r>
        <w:rPr>
          <w:rFonts w:ascii="Times New Roman" w:eastAsia="Times New Roman" w:hAnsi="Times New Roman" w:cs="Times New Roman"/>
          <w:b/>
          <w:i/>
        </w:rPr>
        <w:t>PRISMA Checklist</w:t>
      </w:r>
    </w:p>
    <w:tbl>
      <w:tblPr>
        <w:tblStyle w:val="a"/>
        <w:tblpPr w:leftFromText="180" w:rightFromText="180" w:topFromText="180" w:bottomFromText="180" w:vertAnchor="text" w:tblpX="570"/>
        <w:tblW w:w="13320" w:type="dxa"/>
        <w:tblInd w:w="0" w:type="dxa"/>
        <w:tblBorders>
          <w:top w:val="nil"/>
          <w:left w:val="nil"/>
          <w:bottom w:val="nil"/>
          <w:right w:val="nil"/>
        </w:tblBorders>
        <w:tblLayout w:type="fixed"/>
        <w:tblLook w:val="0000" w:firstRow="0" w:lastRow="0" w:firstColumn="0" w:lastColumn="0" w:noHBand="0" w:noVBand="0"/>
      </w:tblPr>
      <w:tblGrid>
        <w:gridCol w:w="1665"/>
        <w:gridCol w:w="615"/>
        <w:gridCol w:w="9210"/>
        <w:gridCol w:w="1830"/>
      </w:tblGrid>
      <w:tr w:rsidR="005714A1" w14:paraId="58DD2467" w14:textId="77777777" w:rsidTr="00D86880">
        <w:trPr>
          <w:trHeight w:val="65"/>
          <w:tblHeader/>
        </w:trPr>
        <w:tc>
          <w:tcPr>
            <w:tcW w:w="1665" w:type="dxa"/>
            <w:tcBorders>
              <w:top w:val="single" w:sz="5" w:space="0" w:color="000000"/>
              <w:left w:val="single" w:sz="5" w:space="0" w:color="000000"/>
              <w:bottom w:val="single" w:sz="5" w:space="0" w:color="000000"/>
              <w:right w:val="single" w:sz="5" w:space="0" w:color="000000"/>
            </w:tcBorders>
            <w:shd w:val="clear" w:color="auto" w:fill="63639A"/>
            <w:vAlign w:val="center"/>
          </w:tcPr>
          <w:p w14:paraId="72A43A7D" w14:textId="77777777" w:rsidR="005714A1" w:rsidRDefault="005714A1" w:rsidP="00D86880">
            <w:pPr>
              <w:widowControl w:val="0"/>
              <w:spacing w:line="480" w:lineRule="auto"/>
              <w:rPr>
                <w:rFonts w:ascii="Times New Roman" w:eastAsia="Times New Roman" w:hAnsi="Times New Roman" w:cs="Times New Roman"/>
                <w:color w:val="FFFFFF"/>
                <w:sz w:val="20"/>
                <w:szCs w:val="20"/>
              </w:rPr>
            </w:pPr>
            <w:r>
              <w:rPr>
                <w:rFonts w:ascii="Times New Roman" w:eastAsia="Times New Roman" w:hAnsi="Times New Roman" w:cs="Times New Roman"/>
                <w:b/>
                <w:color w:val="FFFFFF"/>
                <w:sz w:val="20"/>
                <w:szCs w:val="20"/>
              </w:rPr>
              <w:lastRenderedPageBreak/>
              <w:t xml:space="preserve">Section and Topic </w:t>
            </w:r>
          </w:p>
        </w:tc>
        <w:tc>
          <w:tcPr>
            <w:tcW w:w="615" w:type="dxa"/>
            <w:tcBorders>
              <w:top w:val="single" w:sz="5" w:space="0" w:color="000000"/>
              <w:left w:val="single" w:sz="5" w:space="0" w:color="000000"/>
              <w:bottom w:val="single" w:sz="5" w:space="0" w:color="000000"/>
              <w:right w:val="single" w:sz="5" w:space="0" w:color="000000"/>
            </w:tcBorders>
            <w:shd w:val="clear" w:color="auto" w:fill="63639A"/>
            <w:vAlign w:val="center"/>
          </w:tcPr>
          <w:p w14:paraId="2164C67F" w14:textId="77777777" w:rsidR="005714A1" w:rsidRDefault="005714A1" w:rsidP="00D86880">
            <w:pPr>
              <w:widowControl w:val="0"/>
              <w:spacing w:line="48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Item #</w:t>
            </w:r>
          </w:p>
        </w:tc>
        <w:tc>
          <w:tcPr>
            <w:tcW w:w="9210" w:type="dxa"/>
            <w:tcBorders>
              <w:top w:val="single" w:sz="5" w:space="0" w:color="000000"/>
              <w:left w:val="single" w:sz="5" w:space="0" w:color="000000"/>
              <w:bottom w:val="single" w:sz="5" w:space="0" w:color="000000"/>
              <w:right w:val="single" w:sz="5" w:space="0" w:color="000000"/>
            </w:tcBorders>
            <w:shd w:val="clear" w:color="auto" w:fill="63639A"/>
            <w:vAlign w:val="center"/>
          </w:tcPr>
          <w:p w14:paraId="321FBDFE" w14:textId="77777777" w:rsidR="005714A1" w:rsidRDefault="005714A1" w:rsidP="00D86880">
            <w:pPr>
              <w:widowControl w:val="0"/>
              <w:spacing w:line="480" w:lineRule="auto"/>
              <w:rPr>
                <w:rFonts w:ascii="Times New Roman" w:eastAsia="Times New Roman" w:hAnsi="Times New Roman" w:cs="Times New Roman"/>
                <w:color w:val="FFFFFF"/>
                <w:sz w:val="20"/>
                <w:szCs w:val="20"/>
              </w:rPr>
            </w:pPr>
            <w:r>
              <w:rPr>
                <w:rFonts w:ascii="Times New Roman" w:eastAsia="Times New Roman" w:hAnsi="Times New Roman" w:cs="Times New Roman"/>
                <w:b/>
                <w:color w:val="FFFFFF"/>
                <w:sz w:val="20"/>
                <w:szCs w:val="20"/>
              </w:rPr>
              <w:t xml:space="preserve">Checklist item </w:t>
            </w:r>
          </w:p>
        </w:tc>
        <w:tc>
          <w:tcPr>
            <w:tcW w:w="1830" w:type="dxa"/>
            <w:tcBorders>
              <w:top w:val="single" w:sz="5" w:space="0" w:color="000000"/>
              <w:left w:val="single" w:sz="5" w:space="0" w:color="000000"/>
              <w:bottom w:val="single" w:sz="5" w:space="0" w:color="000000"/>
              <w:right w:val="single" w:sz="5" w:space="0" w:color="000000"/>
            </w:tcBorders>
            <w:shd w:val="clear" w:color="auto" w:fill="63639A"/>
            <w:vAlign w:val="center"/>
          </w:tcPr>
          <w:p w14:paraId="06C89A89" w14:textId="77777777" w:rsidR="005714A1" w:rsidRDefault="005714A1" w:rsidP="00D86880">
            <w:pPr>
              <w:widowControl w:val="0"/>
              <w:spacing w:line="480" w:lineRule="auto"/>
              <w:rPr>
                <w:rFonts w:ascii="Times New Roman" w:eastAsia="Times New Roman" w:hAnsi="Times New Roman" w:cs="Times New Roman"/>
                <w:color w:val="FFFFFF"/>
                <w:sz w:val="20"/>
                <w:szCs w:val="20"/>
              </w:rPr>
            </w:pPr>
            <w:r>
              <w:rPr>
                <w:rFonts w:ascii="Times New Roman" w:eastAsia="Times New Roman" w:hAnsi="Times New Roman" w:cs="Times New Roman"/>
                <w:b/>
                <w:color w:val="FFFFFF"/>
                <w:sz w:val="20"/>
                <w:szCs w:val="20"/>
              </w:rPr>
              <w:t xml:space="preserve">Location where item is reported </w:t>
            </w:r>
          </w:p>
        </w:tc>
      </w:tr>
      <w:tr w:rsidR="005714A1" w14:paraId="17985DE8" w14:textId="77777777" w:rsidTr="00D86880">
        <w:trPr>
          <w:trHeight w:val="24"/>
        </w:trPr>
        <w:tc>
          <w:tcPr>
            <w:tcW w:w="11490" w:type="dxa"/>
            <w:gridSpan w:val="3"/>
            <w:tcBorders>
              <w:top w:val="single" w:sz="5" w:space="0" w:color="000000"/>
              <w:left w:val="single" w:sz="5" w:space="0" w:color="000000"/>
              <w:bottom w:val="single" w:sz="5" w:space="0" w:color="000000"/>
              <w:right w:val="single" w:sz="5" w:space="0" w:color="000000"/>
            </w:tcBorders>
            <w:shd w:val="clear" w:color="auto" w:fill="FFFFCC"/>
            <w:vAlign w:val="center"/>
          </w:tcPr>
          <w:p w14:paraId="36CA6AD2" w14:textId="77777777" w:rsidR="005714A1" w:rsidRDefault="005714A1" w:rsidP="00D86880">
            <w:pPr>
              <w:widowControl w:val="0"/>
              <w:spacing w:line="48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TITLE </w:t>
            </w:r>
          </w:p>
        </w:tc>
        <w:tc>
          <w:tcPr>
            <w:tcW w:w="1830" w:type="dxa"/>
            <w:tcBorders>
              <w:top w:val="single" w:sz="5" w:space="0" w:color="000000"/>
              <w:left w:val="single" w:sz="5" w:space="0" w:color="000000"/>
              <w:bottom w:val="single" w:sz="5" w:space="0" w:color="000000"/>
              <w:right w:val="single" w:sz="5" w:space="0" w:color="000000"/>
            </w:tcBorders>
            <w:shd w:val="clear" w:color="auto" w:fill="FFFFCC"/>
          </w:tcPr>
          <w:p w14:paraId="0E70C73E" w14:textId="77777777" w:rsidR="005714A1" w:rsidRDefault="005714A1" w:rsidP="00D86880">
            <w:pPr>
              <w:widowControl w:val="0"/>
              <w:spacing w:line="480" w:lineRule="auto"/>
              <w:jc w:val="right"/>
              <w:rPr>
                <w:rFonts w:ascii="Times New Roman" w:eastAsia="Times New Roman" w:hAnsi="Times New Roman" w:cs="Times New Roman"/>
                <w:sz w:val="20"/>
                <w:szCs w:val="20"/>
              </w:rPr>
            </w:pPr>
          </w:p>
        </w:tc>
      </w:tr>
      <w:tr w:rsidR="005714A1" w14:paraId="106954C7"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4B57529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Title </w:t>
            </w:r>
          </w:p>
        </w:tc>
        <w:tc>
          <w:tcPr>
            <w:tcW w:w="615" w:type="dxa"/>
            <w:tcBorders>
              <w:top w:val="single" w:sz="5" w:space="0" w:color="000000"/>
              <w:left w:val="single" w:sz="5" w:space="0" w:color="000000"/>
              <w:bottom w:val="single" w:sz="5" w:space="0" w:color="000000"/>
              <w:right w:val="single" w:sz="5" w:space="0" w:color="000000"/>
            </w:tcBorders>
          </w:tcPr>
          <w:p w14:paraId="7008455E"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9210" w:type="dxa"/>
            <w:tcBorders>
              <w:top w:val="single" w:sz="5" w:space="0" w:color="000000"/>
              <w:left w:val="single" w:sz="5" w:space="0" w:color="000000"/>
              <w:bottom w:val="single" w:sz="5" w:space="0" w:color="000000"/>
              <w:right w:val="single" w:sz="5" w:space="0" w:color="000000"/>
            </w:tcBorders>
          </w:tcPr>
          <w:p w14:paraId="085A112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report as a systematic review.</w:t>
            </w:r>
          </w:p>
        </w:tc>
        <w:tc>
          <w:tcPr>
            <w:tcW w:w="1830" w:type="dxa"/>
            <w:tcBorders>
              <w:top w:val="single" w:sz="5" w:space="0" w:color="000000"/>
              <w:left w:val="single" w:sz="5" w:space="0" w:color="000000"/>
              <w:bottom w:val="single" w:sz="5" w:space="0" w:color="000000"/>
              <w:right w:val="single" w:sz="5" w:space="0" w:color="000000"/>
            </w:tcBorders>
          </w:tcPr>
          <w:p w14:paraId="02519FBA"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Title </w:t>
            </w:r>
          </w:p>
        </w:tc>
      </w:tr>
      <w:tr w:rsidR="005714A1" w14:paraId="3ABA6EAF" w14:textId="77777777" w:rsidTr="00D86880">
        <w:trPr>
          <w:trHeight w:val="24"/>
        </w:trPr>
        <w:tc>
          <w:tcPr>
            <w:tcW w:w="11490" w:type="dxa"/>
            <w:gridSpan w:val="3"/>
            <w:tcBorders>
              <w:top w:val="single" w:sz="5" w:space="0" w:color="000000"/>
              <w:left w:val="single" w:sz="5" w:space="0" w:color="000000"/>
              <w:bottom w:val="single" w:sz="5" w:space="0" w:color="000000"/>
              <w:right w:val="single" w:sz="5" w:space="0" w:color="000000"/>
            </w:tcBorders>
            <w:shd w:val="clear" w:color="auto" w:fill="FFFFCC"/>
            <w:vAlign w:val="center"/>
          </w:tcPr>
          <w:p w14:paraId="33E5FE3C" w14:textId="77777777" w:rsidR="005714A1" w:rsidRDefault="005714A1" w:rsidP="00D86880">
            <w:pPr>
              <w:widowControl w:val="0"/>
              <w:spacing w:line="48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ABSTRACT </w:t>
            </w:r>
          </w:p>
        </w:tc>
        <w:tc>
          <w:tcPr>
            <w:tcW w:w="1830" w:type="dxa"/>
            <w:tcBorders>
              <w:top w:val="single" w:sz="5" w:space="0" w:color="000000"/>
              <w:left w:val="single" w:sz="5" w:space="0" w:color="000000"/>
              <w:bottom w:val="single" w:sz="5" w:space="0" w:color="000000"/>
              <w:right w:val="single" w:sz="5" w:space="0" w:color="000000"/>
            </w:tcBorders>
            <w:shd w:val="clear" w:color="auto" w:fill="FFFFCC"/>
          </w:tcPr>
          <w:p w14:paraId="19570729" w14:textId="77777777" w:rsidR="005714A1" w:rsidRDefault="005714A1" w:rsidP="00D86880">
            <w:pPr>
              <w:widowControl w:val="0"/>
              <w:spacing w:line="480" w:lineRule="auto"/>
              <w:jc w:val="right"/>
              <w:rPr>
                <w:rFonts w:ascii="Times New Roman" w:eastAsia="Times New Roman" w:hAnsi="Times New Roman" w:cs="Times New Roman"/>
                <w:sz w:val="20"/>
                <w:szCs w:val="20"/>
              </w:rPr>
            </w:pPr>
          </w:p>
        </w:tc>
      </w:tr>
      <w:tr w:rsidR="005714A1" w14:paraId="7AC72ED3"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1D3511A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Abstract </w:t>
            </w:r>
          </w:p>
        </w:tc>
        <w:tc>
          <w:tcPr>
            <w:tcW w:w="615" w:type="dxa"/>
            <w:tcBorders>
              <w:top w:val="single" w:sz="5" w:space="0" w:color="000000"/>
              <w:left w:val="single" w:sz="5" w:space="0" w:color="000000"/>
              <w:bottom w:val="single" w:sz="5" w:space="0" w:color="000000"/>
              <w:right w:val="single" w:sz="5" w:space="0" w:color="000000"/>
            </w:tcBorders>
          </w:tcPr>
          <w:p w14:paraId="17F32AF5"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9210" w:type="dxa"/>
            <w:tcBorders>
              <w:top w:val="single" w:sz="5" w:space="0" w:color="000000"/>
              <w:left w:val="single" w:sz="5" w:space="0" w:color="000000"/>
              <w:bottom w:val="single" w:sz="5" w:space="0" w:color="000000"/>
              <w:right w:val="single" w:sz="5" w:space="0" w:color="000000"/>
            </w:tcBorders>
          </w:tcPr>
          <w:p w14:paraId="66C3B31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See the PRISMA 2020 for Abstracts checklist.</w:t>
            </w:r>
          </w:p>
        </w:tc>
        <w:tc>
          <w:tcPr>
            <w:tcW w:w="1830" w:type="dxa"/>
            <w:tcBorders>
              <w:top w:val="single" w:sz="5" w:space="0" w:color="000000"/>
              <w:left w:val="single" w:sz="5" w:space="0" w:color="000000"/>
              <w:bottom w:val="single" w:sz="5" w:space="0" w:color="000000"/>
              <w:right w:val="single" w:sz="5" w:space="0" w:color="000000"/>
            </w:tcBorders>
          </w:tcPr>
          <w:p w14:paraId="7CB9B0F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 2</w:t>
            </w:r>
          </w:p>
        </w:tc>
      </w:tr>
      <w:tr w:rsidR="005714A1" w14:paraId="7B374067" w14:textId="77777777" w:rsidTr="00D86880">
        <w:trPr>
          <w:trHeight w:val="24"/>
        </w:trPr>
        <w:tc>
          <w:tcPr>
            <w:tcW w:w="11490" w:type="dxa"/>
            <w:gridSpan w:val="3"/>
            <w:tcBorders>
              <w:top w:val="single" w:sz="5" w:space="0" w:color="000000"/>
              <w:left w:val="single" w:sz="5" w:space="0" w:color="000000"/>
              <w:bottom w:val="single" w:sz="5" w:space="0" w:color="000000"/>
              <w:right w:val="single" w:sz="5" w:space="0" w:color="000000"/>
            </w:tcBorders>
            <w:shd w:val="clear" w:color="auto" w:fill="FFFFCC"/>
            <w:vAlign w:val="center"/>
          </w:tcPr>
          <w:p w14:paraId="465C43EC" w14:textId="77777777" w:rsidR="005714A1" w:rsidRDefault="005714A1" w:rsidP="00D86880">
            <w:pPr>
              <w:widowControl w:val="0"/>
              <w:spacing w:line="48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INTRODUCTION </w:t>
            </w:r>
          </w:p>
        </w:tc>
        <w:tc>
          <w:tcPr>
            <w:tcW w:w="1830" w:type="dxa"/>
            <w:tcBorders>
              <w:top w:val="single" w:sz="5" w:space="0" w:color="000000"/>
              <w:left w:val="single" w:sz="5" w:space="0" w:color="000000"/>
              <w:bottom w:val="single" w:sz="5" w:space="0" w:color="000000"/>
              <w:right w:val="single" w:sz="5" w:space="0" w:color="000000"/>
            </w:tcBorders>
            <w:shd w:val="clear" w:color="auto" w:fill="FFFFCC"/>
          </w:tcPr>
          <w:p w14:paraId="5CA68488" w14:textId="77777777" w:rsidR="005714A1" w:rsidRDefault="005714A1" w:rsidP="00D86880">
            <w:pPr>
              <w:widowControl w:val="0"/>
              <w:spacing w:line="480" w:lineRule="auto"/>
              <w:jc w:val="right"/>
              <w:rPr>
                <w:rFonts w:ascii="Times New Roman" w:eastAsia="Times New Roman" w:hAnsi="Times New Roman" w:cs="Times New Roman"/>
                <w:sz w:val="20"/>
                <w:szCs w:val="20"/>
              </w:rPr>
            </w:pPr>
          </w:p>
        </w:tc>
      </w:tr>
      <w:tr w:rsidR="005714A1" w14:paraId="58C2DFD9"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11AE97F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Rationale </w:t>
            </w:r>
          </w:p>
        </w:tc>
        <w:tc>
          <w:tcPr>
            <w:tcW w:w="615" w:type="dxa"/>
            <w:tcBorders>
              <w:top w:val="single" w:sz="5" w:space="0" w:color="000000"/>
              <w:left w:val="single" w:sz="5" w:space="0" w:color="000000"/>
              <w:bottom w:val="single" w:sz="5" w:space="0" w:color="000000"/>
              <w:right w:val="single" w:sz="5" w:space="0" w:color="000000"/>
            </w:tcBorders>
          </w:tcPr>
          <w:p w14:paraId="7207E15F"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9210" w:type="dxa"/>
            <w:tcBorders>
              <w:top w:val="single" w:sz="5" w:space="0" w:color="000000"/>
              <w:left w:val="single" w:sz="5" w:space="0" w:color="000000"/>
              <w:bottom w:val="single" w:sz="5" w:space="0" w:color="000000"/>
              <w:right w:val="single" w:sz="5" w:space="0" w:color="000000"/>
            </w:tcBorders>
          </w:tcPr>
          <w:p w14:paraId="335DFE23"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the rationale for the review in the context of existing knowledge.</w:t>
            </w:r>
          </w:p>
        </w:tc>
        <w:tc>
          <w:tcPr>
            <w:tcW w:w="1830" w:type="dxa"/>
            <w:tcBorders>
              <w:top w:val="single" w:sz="5" w:space="0" w:color="000000"/>
              <w:left w:val="single" w:sz="5" w:space="0" w:color="000000"/>
              <w:bottom w:val="single" w:sz="5" w:space="0" w:color="000000"/>
              <w:right w:val="single" w:sz="5" w:space="0" w:color="000000"/>
            </w:tcBorders>
          </w:tcPr>
          <w:p w14:paraId="37EB4BA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Pages 3-8</w:t>
            </w:r>
          </w:p>
        </w:tc>
      </w:tr>
      <w:tr w:rsidR="005714A1" w14:paraId="7DFB7D30"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471263E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Objectives </w:t>
            </w:r>
          </w:p>
        </w:tc>
        <w:tc>
          <w:tcPr>
            <w:tcW w:w="615" w:type="dxa"/>
            <w:tcBorders>
              <w:top w:val="single" w:sz="5" w:space="0" w:color="000000"/>
              <w:left w:val="single" w:sz="5" w:space="0" w:color="000000"/>
              <w:bottom w:val="single" w:sz="5" w:space="0" w:color="000000"/>
              <w:right w:val="single" w:sz="5" w:space="0" w:color="000000"/>
            </w:tcBorders>
          </w:tcPr>
          <w:p w14:paraId="27901147"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9210" w:type="dxa"/>
            <w:tcBorders>
              <w:top w:val="single" w:sz="5" w:space="0" w:color="000000"/>
              <w:left w:val="single" w:sz="5" w:space="0" w:color="000000"/>
              <w:bottom w:val="single" w:sz="5" w:space="0" w:color="000000"/>
              <w:right w:val="single" w:sz="5" w:space="0" w:color="000000"/>
            </w:tcBorders>
          </w:tcPr>
          <w:p w14:paraId="5CF3A1A4"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Provide an explicit statement of the objective(s) or question(s) the review addresses.</w:t>
            </w:r>
          </w:p>
        </w:tc>
        <w:tc>
          <w:tcPr>
            <w:tcW w:w="1830" w:type="dxa"/>
            <w:tcBorders>
              <w:top w:val="single" w:sz="5" w:space="0" w:color="000000"/>
              <w:left w:val="single" w:sz="5" w:space="0" w:color="000000"/>
              <w:bottom w:val="single" w:sz="5" w:space="0" w:color="000000"/>
              <w:right w:val="single" w:sz="5" w:space="0" w:color="000000"/>
            </w:tcBorders>
          </w:tcPr>
          <w:p w14:paraId="098CEA0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 8</w:t>
            </w:r>
          </w:p>
        </w:tc>
      </w:tr>
      <w:tr w:rsidR="005714A1" w14:paraId="086C8836" w14:textId="77777777" w:rsidTr="00D86880">
        <w:trPr>
          <w:trHeight w:val="24"/>
        </w:trPr>
        <w:tc>
          <w:tcPr>
            <w:tcW w:w="11490" w:type="dxa"/>
            <w:gridSpan w:val="3"/>
            <w:tcBorders>
              <w:top w:val="single" w:sz="5" w:space="0" w:color="000000"/>
              <w:left w:val="single" w:sz="5" w:space="0" w:color="000000"/>
              <w:bottom w:val="single" w:sz="5" w:space="0" w:color="000000"/>
              <w:right w:val="single" w:sz="5" w:space="0" w:color="000000"/>
            </w:tcBorders>
            <w:shd w:val="clear" w:color="auto" w:fill="FFFFCC"/>
            <w:vAlign w:val="center"/>
          </w:tcPr>
          <w:p w14:paraId="33FE886F" w14:textId="77777777" w:rsidR="005714A1" w:rsidRDefault="005714A1" w:rsidP="00D86880">
            <w:pPr>
              <w:widowControl w:val="0"/>
              <w:spacing w:line="48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METHODS </w:t>
            </w:r>
          </w:p>
        </w:tc>
        <w:tc>
          <w:tcPr>
            <w:tcW w:w="1830" w:type="dxa"/>
            <w:tcBorders>
              <w:top w:val="single" w:sz="5" w:space="0" w:color="000000"/>
              <w:left w:val="single" w:sz="5" w:space="0" w:color="000000"/>
              <w:bottom w:val="single" w:sz="5" w:space="0" w:color="000000"/>
              <w:right w:val="single" w:sz="5" w:space="0" w:color="000000"/>
            </w:tcBorders>
            <w:shd w:val="clear" w:color="auto" w:fill="FFFFCC"/>
          </w:tcPr>
          <w:p w14:paraId="46C4D6AD" w14:textId="77777777" w:rsidR="005714A1" w:rsidRDefault="005714A1" w:rsidP="00D86880">
            <w:pPr>
              <w:widowControl w:val="0"/>
              <w:spacing w:line="480" w:lineRule="auto"/>
              <w:jc w:val="right"/>
              <w:rPr>
                <w:rFonts w:ascii="Times New Roman" w:eastAsia="Times New Roman" w:hAnsi="Times New Roman" w:cs="Times New Roman"/>
                <w:sz w:val="20"/>
                <w:szCs w:val="20"/>
              </w:rPr>
            </w:pPr>
          </w:p>
        </w:tc>
      </w:tr>
      <w:tr w:rsidR="005714A1" w14:paraId="05AA548D"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46B23F8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Eligibility criteria </w:t>
            </w:r>
          </w:p>
        </w:tc>
        <w:tc>
          <w:tcPr>
            <w:tcW w:w="615" w:type="dxa"/>
            <w:tcBorders>
              <w:top w:val="single" w:sz="5" w:space="0" w:color="000000"/>
              <w:left w:val="single" w:sz="5" w:space="0" w:color="000000"/>
              <w:bottom w:val="single" w:sz="5" w:space="0" w:color="000000"/>
              <w:right w:val="single" w:sz="5" w:space="0" w:color="000000"/>
            </w:tcBorders>
          </w:tcPr>
          <w:p w14:paraId="3F3C1BEC"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9210" w:type="dxa"/>
            <w:tcBorders>
              <w:top w:val="single" w:sz="5" w:space="0" w:color="000000"/>
              <w:left w:val="single" w:sz="5" w:space="0" w:color="000000"/>
              <w:bottom w:val="single" w:sz="5" w:space="0" w:color="000000"/>
              <w:right w:val="single" w:sz="5" w:space="0" w:color="000000"/>
            </w:tcBorders>
          </w:tcPr>
          <w:p w14:paraId="00080C9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Specify the inclusion and exclusion criteria for the review and how studies were grouped for the syntheses.</w:t>
            </w:r>
          </w:p>
        </w:tc>
        <w:tc>
          <w:tcPr>
            <w:tcW w:w="1830" w:type="dxa"/>
            <w:tcBorders>
              <w:top w:val="single" w:sz="5" w:space="0" w:color="000000"/>
              <w:left w:val="single" w:sz="5" w:space="0" w:color="000000"/>
              <w:bottom w:val="single" w:sz="5" w:space="0" w:color="000000"/>
              <w:right w:val="single" w:sz="5" w:space="0" w:color="000000"/>
            </w:tcBorders>
          </w:tcPr>
          <w:p w14:paraId="4FD6FCBA"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 8-10 and Figure 2</w:t>
            </w:r>
          </w:p>
        </w:tc>
      </w:tr>
      <w:tr w:rsidR="005714A1" w14:paraId="42A5A55C" w14:textId="77777777" w:rsidTr="00D86880">
        <w:trPr>
          <w:trHeight w:val="191"/>
        </w:trPr>
        <w:tc>
          <w:tcPr>
            <w:tcW w:w="1665" w:type="dxa"/>
            <w:tcBorders>
              <w:top w:val="single" w:sz="5" w:space="0" w:color="000000"/>
              <w:left w:val="single" w:sz="5" w:space="0" w:color="000000"/>
              <w:bottom w:val="single" w:sz="5" w:space="0" w:color="000000"/>
              <w:right w:val="single" w:sz="5" w:space="0" w:color="000000"/>
            </w:tcBorders>
          </w:tcPr>
          <w:p w14:paraId="727A5254"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Information sources </w:t>
            </w:r>
          </w:p>
        </w:tc>
        <w:tc>
          <w:tcPr>
            <w:tcW w:w="615" w:type="dxa"/>
            <w:tcBorders>
              <w:top w:val="single" w:sz="5" w:space="0" w:color="000000"/>
              <w:left w:val="single" w:sz="5" w:space="0" w:color="000000"/>
              <w:bottom w:val="single" w:sz="5" w:space="0" w:color="000000"/>
              <w:right w:val="single" w:sz="5" w:space="0" w:color="000000"/>
            </w:tcBorders>
          </w:tcPr>
          <w:p w14:paraId="59B547B1"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9210" w:type="dxa"/>
            <w:tcBorders>
              <w:top w:val="single" w:sz="5" w:space="0" w:color="000000"/>
              <w:left w:val="single" w:sz="5" w:space="0" w:color="000000"/>
              <w:bottom w:val="single" w:sz="5" w:space="0" w:color="000000"/>
              <w:right w:val="single" w:sz="5" w:space="0" w:color="000000"/>
            </w:tcBorders>
          </w:tcPr>
          <w:p w14:paraId="1A8C2FCA"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Specify all databases, registers, websites, organisations, reference lists and other sources searched or consulted to identify studies. Specify the date when each source was last searched or consulted.</w:t>
            </w:r>
          </w:p>
        </w:tc>
        <w:tc>
          <w:tcPr>
            <w:tcW w:w="1830" w:type="dxa"/>
            <w:tcBorders>
              <w:top w:val="single" w:sz="5" w:space="0" w:color="000000"/>
              <w:left w:val="single" w:sz="5" w:space="0" w:color="000000"/>
              <w:bottom w:val="single" w:sz="5" w:space="0" w:color="000000"/>
              <w:right w:val="single" w:sz="5" w:space="0" w:color="000000"/>
            </w:tcBorders>
          </w:tcPr>
          <w:p w14:paraId="0F120DB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Pages 8-10 &amp; Appendix A</w:t>
            </w:r>
          </w:p>
        </w:tc>
      </w:tr>
      <w:tr w:rsidR="005714A1" w14:paraId="4C8BB497"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67C59FDF"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Search strategy</w:t>
            </w:r>
          </w:p>
        </w:tc>
        <w:tc>
          <w:tcPr>
            <w:tcW w:w="615" w:type="dxa"/>
            <w:tcBorders>
              <w:top w:val="single" w:sz="5" w:space="0" w:color="000000"/>
              <w:left w:val="single" w:sz="5" w:space="0" w:color="000000"/>
              <w:bottom w:val="single" w:sz="5" w:space="0" w:color="000000"/>
              <w:right w:val="single" w:sz="5" w:space="0" w:color="000000"/>
            </w:tcBorders>
          </w:tcPr>
          <w:p w14:paraId="23932BF8"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9210" w:type="dxa"/>
            <w:tcBorders>
              <w:top w:val="single" w:sz="5" w:space="0" w:color="000000"/>
              <w:left w:val="single" w:sz="5" w:space="0" w:color="000000"/>
              <w:bottom w:val="single" w:sz="5" w:space="0" w:color="000000"/>
              <w:right w:val="single" w:sz="5" w:space="0" w:color="000000"/>
            </w:tcBorders>
          </w:tcPr>
          <w:p w14:paraId="600A898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Present the full search strategies for all databases, registers and websites, including any filters and limits used.</w:t>
            </w:r>
          </w:p>
        </w:tc>
        <w:tc>
          <w:tcPr>
            <w:tcW w:w="1830" w:type="dxa"/>
            <w:tcBorders>
              <w:top w:val="single" w:sz="5" w:space="0" w:color="000000"/>
              <w:left w:val="single" w:sz="5" w:space="0" w:color="000000"/>
              <w:bottom w:val="single" w:sz="5" w:space="0" w:color="000000"/>
              <w:right w:val="single" w:sz="5" w:space="0" w:color="000000"/>
            </w:tcBorders>
          </w:tcPr>
          <w:p w14:paraId="0F4B085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Figure 10-11</w:t>
            </w:r>
          </w:p>
        </w:tc>
      </w:tr>
      <w:tr w:rsidR="005714A1" w14:paraId="5BD54F14"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269BED8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Selection process</w:t>
            </w:r>
          </w:p>
        </w:tc>
        <w:tc>
          <w:tcPr>
            <w:tcW w:w="615" w:type="dxa"/>
            <w:tcBorders>
              <w:top w:val="single" w:sz="5" w:space="0" w:color="000000"/>
              <w:left w:val="single" w:sz="5" w:space="0" w:color="000000"/>
              <w:bottom w:val="single" w:sz="5" w:space="0" w:color="000000"/>
              <w:right w:val="single" w:sz="5" w:space="0" w:color="000000"/>
            </w:tcBorders>
          </w:tcPr>
          <w:p w14:paraId="46F44ABB"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9210" w:type="dxa"/>
            <w:tcBorders>
              <w:top w:val="single" w:sz="5" w:space="0" w:color="000000"/>
              <w:left w:val="single" w:sz="5" w:space="0" w:color="000000"/>
              <w:bottom w:val="single" w:sz="5" w:space="0" w:color="000000"/>
              <w:right w:val="single" w:sz="5" w:space="0" w:color="000000"/>
            </w:tcBorders>
          </w:tcPr>
          <w:p w14:paraId="24E3B6F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Specify the methods used to decide whether a study met the inclusion criteria of the review, including how many reviewers screened each record and each report retrieved, whether they worked independently, and if </w:t>
            </w:r>
            <w:r>
              <w:rPr>
                <w:rFonts w:ascii="Times New Roman" w:eastAsia="Times New Roman" w:hAnsi="Times New Roman" w:cs="Times New Roman"/>
                <w:sz w:val="20"/>
                <w:szCs w:val="20"/>
              </w:rPr>
              <w:lastRenderedPageBreak/>
              <w:t>applicable, details of automation tools used in the process.</w:t>
            </w:r>
          </w:p>
        </w:tc>
        <w:tc>
          <w:tcPr>
            <w:tcW w:w="1830" w:type="dxa"/>
            <w:tcBorders>
              <w:top w:val="single" w:sz="5" w:space="0" w:color="000000"/>
              <w:left w:val="single" w:sz="5" w:space="0" w:color="000000"/>
              <w:bottom w:val="single" w:sz="5" w:space="0" w:color="000000"/>
              <w:right w:val="single" w:sz="5" w:space="0" w:color="000000"/>
            </w:tcBorders>
          </w:tcPr>
          <w:p w14:paraId="4EEFAD3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Pages 10-11</w:t>
            </w:r>
          </w:p>
        </w:tc>
      </w:tr>
      <w:tr w:rsidR="005714A1" w14:paraId="0999E7BA" w14:textId="77777777" w:rsidTr="00D86880">
        <w:trPr>
          <w:trHeight w:val="152"/>
        </w:trPr>
        <w:tc>
          <w:tcPr>
            <w:tcW w:w="1665" w:type="dxa"/>
            <w:tcBorders>
              <w:top w:val="single" w:sz="5" w:space="0" w:color="000000"/>
              <w:left w:val="single" w:sz="5" w:space="0" w:color="000000"/>
              <w:bottom w:val="single" w:sz="5" w:space="0" w:color="000000"/>
              <w:right w:val="single" w:sz="5" w:space="0" w:color="000000"/>
            </w:tcBorders>
          </w:tcPr>
          <w:p w14:paraId="21479745"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Data collection process </w:t>
            </w:r>
          </w:p>
        </w:tc>
        <w:tc>
          <w:tcPr>
            <w:tcW w:w="615" w:type="dxa"/>
            <w:tcBorders>
              <w:top w:val="single" w:sz="5" w:space="0" w:color="000000"/>
              <w:left w:val="single" w:sz="5" w:space="0" w:color="000000"/>
              <w:bottom w:val="single" w:sz="5" w:space="0" w:color="000000"/>
              <w:right w:val="single" w:sz="5" w:space="0" w:color="000000"/>
            </w:tcBorders>
          </w:tcPr>
          <w:p w14:paraId="52830636"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9210" w:type="dxa"/>
            <w:tcBorders>
              <w:top w:val="single" w:sz="5" w:space="0" w:color="000000"/>
              <w:left w:val="single" w:sz="5" w:space="0" w:color="000000"/>
              <w:bottom w:val="single" w:sz="5" w:space="0" w:color="000000"/>
              <w:right w:val="single" w:sz="5" w:space="0" w:color="000000"/>
            </w:tcBorders>
          </w:tcPr>
          <w:p w14:paraId="07921EC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30" w:type="dxa"/>
            <w:tcBorders>
              <w:top w:val="single" w:sz="5" w:space="0" w:color="000000"/>
              <w:left w:val="single" w:sz="5" w:space="0" w:color="000000"/>
              <w:bottom w:val="single" w:sz="5" w:space="0" w:color="000000"/>
              <w:right w:val="single" w:sz="5" w:space="0" w:color="000000"/>
            </w:tcBorders>
          </w:tcPr>
          <w:p w14:paraId="0BB3BE5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 10-11</w:t>
            </w:r>
          </w:p>
        </w:tc>
      </w:tr>
      <w:tr w:rsidR="005714A1" w14:paraId="41247C59" w14:textId="77777777" w:rsidTr="00D86880">
        <w:trPr>
          <w:trHeight w:val="48"/>
        </w:trPr>
        <w:tc>
          <w:tcPr>
            <w:tcW w:w="1665" w:type="dxa"/>
            <w:vMerge w:val="restart"/>
            <w:tcBorders>
              <w:top w:val="single" w:sz="5" w:space="0" w:color="000000"/>
              <w:left w:val="single" w:sz="5" w:space="0" w:color="000000"/>
              <w:bottom w:val="single" w:sz="5" w:space="0" w:color="000000"/>
              <w:right w:val="single" w:sz="5" w:space="0" w:color="000000"/>
            </w:tcBorders>
          </w:tcPr>
          <w:p w14:paraId="705B6F0F"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Data items </w:t>
            </w:r>
          </w:p>
        </w:tc>
        <w:tc>
          <w:tcPr>
            <w:tcW w:w="615" w:type="dxa"/>
            <w:tcBorders>
              <w:top w:val="single" w:sz="5" w:space="0" w:color="000000"/>
              <w:left w:val="single" w:sz="5" w:space="0" w:color="000000"/>
              <w:bottom w:val="single" w:sz="5" w:space="0" w:color="000000"/>
              <w:right w:val="single" w:sz="5" w:space="0" w:color="000000"/>
            </w:tcBorders>
          </w:tcPr>
          <w:p w14:paraId="7EC07DE5"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10a</w:t>
            </w:r>
          </w:p>
        </w:tc>
        <w:tc>
          <w:tcPr>
            <w:tcW w:w="9210" w:type="dxa"/>
            <w:tcBorders>
              <w:top w:val="single" w:sz="5" w:space="0" w:color="000000"/>
              <w:left w:val="single" w:sz="5" w:space="0" w:color="000000"/>
              <w:bottom w:val="single" w:sz="5" w:space="0" w:color="000000"/>
              <w:right w:val="single" w:sz="5" w:space="0" w:color="000000"/>
            </w:tcBorders>
          </w:tcPr>
          <w:p w14:paraId="39AAA650"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30" w:type="dxa"/>
            <w:tcBorders>
              <w:top w:val="single" w:sz="5" w:space="0" w:color="000000"/>
              <w:left w:val="single" w:sz="5" w:space="0" w:color="000000"/>
              <w:bottom w:val="single" w:sz="5" w:space="0" w:color="000000"/>
              <w:right w:val="single" w:sz="5" w:space="0" w:color="000000"/>
            </w:tcBorders>
          </w:tcPr>
          <w:p w14:paraId="62BB291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Table 3</w:t>
            </w:r>
          </w:p>
        </w:tc>
      </w:tr>
      <w:tr w:rsidR="005714A1" w14:paraId="0AA53B54"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2FC33B20"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6FBFF777"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10b</w:t>
            </w:r>
          </w:p>
        </w:tc>
        <w:tc>
          <w:tcPr>
            <w:tcW w:w="9210" w:type="dxa"/>
            <w:tcBorders>
              <w:top w:val="single" w:sz="5" w:space="0" w:color="000000"/>
              <w:left w:val="single" w:sz="5" w:space="0" w:color="000000"/>
              <w:bottom w:val="single" w:sz="5" w:space="0" w:color="000000"/>
              <w:right w:val="single" w:sz="5" w:space="0" w:color="000000"/>
            </w:tcBorders>
          </w:tcPr>
          <w:p w14:paraId="32857CF4"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List and define all other variables for which data were sought (e.g. participant and intervention characteristics, funding sources). Describe any assumptions made about any missing or unclear information.</w:t>
            </w:r>
          </w:p>
        </w:tc>
        <w:tc>
          <w:tcPr>
            <w:tcW w:w="1830" w:type="dxa"/>
            <w:tcBorders>
              <w:top w:val="single" w:sz="5" w:space="0" w:color="000000"/>
              <w:left w:val="single" w:sz="5" w:space="0" w:color="000000"/>
              <w:bottom w:val="single" w:sz="5" w:space="0" w:color="000000"/>
              <w:right w:val="single" w:sz="5" w:space="0" w:color="000000"/>
            </w:tcBorders>
          </w:tcPr>
          <w:p w14:paraId="461765B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Table 3</w:t>
            </w:r>
          </w:p>
        </w:tc>
      </w:tr>
      <w:tr w:rsidR="005714A1" w14:paraId="742067A8"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7FE1BAF0"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Study risk of bias assessment</w:t>
            </w:r>
          </w:p>
        </w:tc>
        <w:tc>
          <w:tcPr>
            <w:tcW w:w="615" w:type="dxa"/>
            <w:tcBorders>
              <w:top w:val="single" w:sz="5" w:space="0" w:color="000000"/>
              <w:left w:val="single" w:sz="5" w:space="0" w:color="000000"/>
              <w:bottom w:val="single" w:sz="5" w:space="0" w:color="000000"/>
              <w:right w:val="single" w:sz="5" w:space="0" w:color="000000"/>
            </w:tcBorders>
          </w:tcPr>
          <w:p w14:paraId="11CD7696"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9210" w:type="dxa"/>
            <w:tcBorders>
              <w:top w:val="single" w:sz="5" w:space="0" w:color="000000"/>
              <w:left w:val="single" w:sz="5" w:space="0" w:color="000000"/>
              <w:bottom w:val="single" w:sz="5" w:space="0" w:color="000000"/>
              <w:right w:val="single" w:sz="5" w:space="0" w:color="000000"/>
            </w:tcBorders>
          </w:tcPr>
          <w:p w14:paraId="124B137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30" w:type="dxa"/>
            <w:tcBorders>
              <w:top w:val="single" w:sz="5" w:space="0" w:color="000000"/>
              <w:left w:val="single" w:sz="5" w:space="0" w:color="000000"/>
              <w:bottom w:val="single" w:sz="5" w:space="0" w:color="000000"/>
              <w:right w:val="single" w:sz="5" w:space="0" w:color="000000"/>
            </w:tcBorders>
          </w:tcPr>
          <w:p w14:paraId="65366DD5"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 14-15 and Supp. Table 2</w:t>
            </w:r>
          </w:p>
        </w:tc>
      </w:tr>
      <w:tr w:rsidR="005714A1" w14:paraId="08E93D10"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1A358BB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Effect measures </w:t>
            </w:r>
          </w:p>
        </w:tc>
        <w:tc>
          <w:tcPr>
            <w:tcW w:w="615" w:type="dxa"/>
            <w:tcBorders>
              <w:top w:val="single" w:sz="5" w:space="0" w:color="000000"/>
              <w:left w:val="single" w:sz="5" w:space="0" w:color="000000"/>
              <w:bottom w:val="single" w:sz="5" w:space="0" w:color="000000"/>
              <w:right w:val="single" w:sz="5" w:space="0" w:color="000000"/>
            </w:tcBorders>
          </w:tcPr>
          <w:p w14:paraId="133DFD12"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9210" w:type="dxa"/>
            <w:tcBorders>
              <w:top w:val="single" w:sz="5" w:space="0" w:color="000000"/>
              <w:left w:val="single" w:sz="5" w:space="0" w:color="000000"/>
              <w:bottom w:val="single" w:sz="5" w:space="0" w:color="000000"/>
              <w:right w:val="single" w:sz="5" w:space="0" w:color="000000"/>
            </w:tcBorders>
          </w:tcPr>
          <w:p w14:paraId="4C224C3E"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Specify for each outcome the effect measure(s) (e.g. risk ratio, mean difference) used in the synthesis or presentation of results.</w:t>
            </w:r>
          </w:p>
        </w:tc>
        <w:tc>
          <w:tcPr>
            <w:tcW w:w="1830" w:type="dxa"/>
            <w:tcBorders>
              <w:top w:val="single" w:sz="5" w:space="0" w:color="000000"/>
              <w:left w:val="single" w:sz="5" w:space="0" w:color="000000"/>
              <w:bottom w:val="single" w:sz="5" w:space="0" w:color="000000"/>
              <w:right w:val="single" w:sz="5" w:space="0" w:color="000000"/>
            </w:tcBorders>
          </w:tcPr>
          <w:p w14:paraId="5AD3C2E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Table 2</w:t>
            </w:r>
          </w:p>
        </w:tc>
      </w:tr>
      <w:tr w:rsidR="005714A1" w14:paraId="586BBA5C" w14:textId="77777777" w:rsidTr="00D86880">
        <w:trPr>
          <w:trHeight w:val="48"/>
        </w:trPr>
        <w:tc>
          <w:tcPr>
            <w:tcW w:w="1665" w:type="dxa"/>
            <w:vMerge w:val="restart"/>
            <w:tcBorders>
              <w:top w:val="single" w:sz="5" w:space="0" w:color="000000"/>
              <w:left w:val="single" w:sz="5" w:space="0" w:color="000000"/>
              <w:bottom w:val="single" w:sz="5" w:space="0" w:color="000000"/>
              <w:right w:val="single" w:sz="5" w:space="0" w:color="000000"/>
            </w:tcBorders>
          </w:tcPr>
          <w:p w14:paraId="76D84F2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Synthesis methods</w:t>
            </w:r>
          </w:p>
        </w:tc>
        <w:tc>
          <w:tcPr>
            <w:tcW w:w="615" w:type="dxa"/>
            <w:tcBorders>
              <w:top w:val="single" w:sz="5" w:space="0" w:color="000000"/>
              <w:left w:val="single" w:sz="5" w:space="0" w:color="000000"/>
              <w:bottom w:val="single" w:sz="5" w:space="0" w:color="000000"/>
              <w:right w:val="single" w:sz="5" w:space="0" w:color="000000"/>
            </w:tcBorders>
          </w:tcPr>
          <w:p w14:paraId="63624C4F"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13a</w:t>
            </w:r>
          </w:p>
        </w:tc>
        <w:tc>
          <w:tcPr>
            <w:tcW w:w="9210" w:type="dxa"/>
            <w:tcBorders>
              <w:top w:val="single" w:sz="5" w:space="0" w:color="000000"/>
              <w:left w:val="single" w:sz="5" w:space="0" w:color="000000"/>
              <w:bottom w:val="single" w:sz="5" w:space="0" w:color="000000"/>
              <w:right w:val="single" w:sz="5" w:space="0" w:color="000000"/>
            </w:tcBorders>
          </w:tcPr>
          <w:p w14:paraId="4D16605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the processes used to decide which studies were eligible for each synthesis (e.g. tabulating the study intervention characteristics and comparing against the planned groups for each synthesis (item #5)).</w:t>
            </w:r>
          </w:p>
        </w:tc>
        <w:tc>
          <w:tcPr>
            <w:tcW w:w="1830" w:type="dxa"/>
            <w:tcBorders>
              <w:top w:val="single" w:sz="5" w:space="0" w:color="000000"/>
              <w:left w:val="single" w:sz="5" w:space="0" w:color="000000"/>
              <w:bottom w:val="single" w:sz="5" w:space="0" w:color="000000"/>
              <w:right w:val="single" w:sz="5" w:space="0" w:color="000000"/>
            </w:tcBorders>
          </w:tcPr>
          <w:p w14:paraId="6E79F9A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Pages 11-12</w:t>
            </w:r>
          </w:p>
        </w:tc>
      </w:tr>
      <w:tr w:rsidR="005714A1" w14:paraId="5C2E35CB"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37D93FE7"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24754AA6"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13b</w:t>
            </w:r>
          </w:p>
        </w:tc>
        <w:tc>
          <w:tcPr>
            <w:tcW w:w="9210" w:type="dxa"/>
            <w:tcBorders>
              <w:top w:val="single" w:sz="5" w:space="0" w:color="000000"/>
              <w:left w:val="single" w:sz="5" w:space="0" w:color="000000"/>
              <w:bottom w:val="single" w:sz="5" w:space="0" w:color="000000"/>
              <w:right w:val="single" w:sz="5" w:space="0" w:color="000000"/>
            </w:tcBorders>
          </w:tcPr>
          <w:p w14:paraId="42BD91F4"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any methods required to prepare the data for presentation or synthesis, such as handling of missing summary statistics, or data conversions.</w:t>
            </w:r>
          </w:p>
        </w:tc>
        <w:tc>
          <w:tcPr>
            <w:tcW w:w="1830" w:type="dxa"/>
            <w:tcBorders>
              <w:top w:val="single" w:sz="5" w:space="0" w:color="000000"/>
              <w:left w:val="single" w:sz="5" w:space="0" w:color="000000"/>
              <w:bottom w:val="single" w:sz="5" w:space="0" w:color="000000"/>
              <w:right w:val="single" w:sz="5" w:space="0" w:color="000000"/>
            </w:tcBorders>
          </w:tcPr>
          <w:p w14:paraId="7D951AB3"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Pages 12-14</w:t>
            </w:r>
          </w:p>
        </w:tc>
      </w:tr>
      <w:tr w:rsidR="005714A1" w14:paraId="7C7D4123"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73D294D2"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70A42197"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13c</w:t>
            </w:r>
          </w:p>
        </w:tc>
        <w:tc>
          <w:tcPr>
            <w:tcW w:w="9210" w:type="dxa"/>
            <w:tcBorders>
              <w:top w:val="single" w:sz="5" w:space="0" w:color="000000"/>
              <w:left w:val="single" w:sz="5" w:space="0" w:color="000000"/>
              <w:bottom w:val="single" w:sz="5" w:space="0" w:color="000000"/>
              <w:right w:val="single" w:sz="5" w:space="0" w:color="000000"/>
            </w:tcBorders>
          </w:tcPr>
          <w:p w14:paraId="63A98DDF"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any methods used to tabulate or visually display results of individual studies and syntheses.</w:t>
            </w:r>
          </w:p>
        </w:tc>
        <w:tc>
          <w:tcPr>
            <w:tcW w:w="1830" w:type="dxa"/>
            <w:tcBorders>
              <w:top w:val="single" w:sz="5" w:space="0" w:color="000000"/>
              <w:left w:val="single" w:sz="5" w:space="0" w:color="000000"/>
              <w:bottom w:val="single" w:sz="5" w:space="0" w:color="000000"/>
              <w:right w:val="single" w:sz="5" w:space="0" w:color="000000"/>
            </w:tcBorders>
          </w:tcPr>
          <w:p w14:paraId="7AB49321"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Table 3</w:t>
            </w:r>
          </w:p>
        </w:tc>
      </w:tr>
      <w:tr w:rsidR="005714A1" w14:paraId="71D0073B"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6C38C822"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5962BA42"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13d</w:t>
            </w:r>
          </w:p>
        </w:tc>
        <w:tc>
          <w:tcPr>
            <w:tcW w:w="9210" w:type="dxa"/>
            <w:tcBorders>
              <w:top w:val="single" w:sz="5" w:space="0" w:color="000000"/>
              <w:left w:val="single" w:sz="5" w:space="0" w:color="000000"/>
              <w:bottom w:val="single" w:sz="5" w:space="0" w:color="000000"/>
              <w:right w:val="single" w:sz="5" w:space="0" w:color="000000"/>
            </w:tcBorders>
          </w:tcPr>
          <w:p w14:paraId="3B90643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any methods used to synthesize results and provide a rationale for the choice(s). If meta-analysis was performed, describe the model(s), method(s) to identify the presence and extent of statistical heterogeneity, and software package(s) used.</w:t>
            </w:r>
          </w:p>
        </w:tc>
        <w:tc>
          <w:tcPr>
            <w:tcW w:w="1830" w:type="dxa"/>
            <w:tcBorders>
              <w:top w:val="single" w:sz="5" w:space="0" w:color="000000"/>
              <w:left w:val="single" w:sz="5" w:space="0" w:color="000000"/>
              <w:bottom w:val="single" w:sz="5" w:space="0" w:color="000000"/>
              <w:right w:val="single" w:sz="5" w:space="0" w:color="000000"/>
            </w:tcBorders>
          </w:tcPr>
          <w:p w14:paraId="2D60B36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678FF3A2"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54B249D5"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56C763B1"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13e</w:t>
            </w:r>
          </w:p>
        </w:tc>
        <w:tc>
          <w:tcPr>
            <w:tcW w:w="9210" w:type="dxa"/>
            <w:tcBorders>
              <w:top w:val="single" w:sz="5" w:space="0" w:color="000000"/>
              <w:left w:val="single" w:sz="5" w:space="0" w:color="000000"/>
              <w:bottom w:val="single" w:sz="5" w:space="0" w:color="000000"/>
              <w:right w:val="single" w:sz="5" w:space="0" w:color="000000"/>
            </w:tcBorders>
          </w:tcPr>
          <w:p w14:paraId="3A486C0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any methods used to explore possible causes of heterogeneity among study results (e.g. subgroup analysis, meta-regression).</w:t>
            </w:r>
          </w:p>
        </w:tc>
        <w:tc>
          <w:tcPr>
            <w:tcW w:w="1830" w:type="dxa"/>
            <w:tcBorders>
              <w:top w:val="single" w:sz="5" w:space="0" w:color="000000"/>
              <w:left w:val="single" w:sz="5" w:space="0" w:color="000000"/>
              <w:bottom w:val="single" w:sz="5" w:space="0" w:color="000000"/>
              <w:right w:val="single" w:sz="5" w:space="0" w:color="000000"/>
            </w:tcBorders>
          </w:tcPr>
          <w:p w14:paraId="0765CDA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18D8E4E8" w14:textId="77777777" w:rsidTr="00D86880">
        <w:trPr>
          <w:trHeight w:val="50"/>
        </w:trPr>
        <w:tc>
          <w:tcPr>
            <w:tcW w:w="1665" w:type="dxa"/>
            <w:vMerge/>
            <w:tcBorders>
              <w:top w:val="single" w:sz="5" w:space="0" w:color="000000"/>
              <w:left w:val="single" w:sz="5" w:space="0" w:color="000000"/>
              <w:bottom w:val="single" w:sz="5" w:space="0" w:color="000000"/>
              <w:right w:val="single" w:sz="5" w:space="0" w:color="000000"/>
            </w:tcBorders>
          </w:tcPr>
          <w:p w14:paraId="188277E1"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603DA709"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13f</w:t>
            </w:r>
          </w:p>
        </w:tc>
        <w:tc>
          <w:tcPr>
            <w:tcW w:w="9210" w:type="dxa"/>
            <w:tcBorders>
              <w:top w:val="single" w:sz="5" w:space="0" w:color="000000"/>
              <w:left w:val="single" w:sz="5" w:space="0" w:color="000000"/>
              <w:bottom w:val="single" w:sz="5" w:space="0" w:color="000000"/>
              <w:right w:val="single" w:sz="5" w:space="0" w:color="000000"/>
            </w:tcBorders>
          </w:tcPr>
          <w:p w14:paraId="383DFC3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any sensitivity analyses conducted to assess robustness of the synthesized results.</w:t>
            </w:r>
          </w:p>
        </w:tc>
        <w:tc>
          <w:tcPr>
            <w:tcW w:w="1830" w:type="dxa"/>
            <w:tcBorders>
              <w:top w:val="single" w:sz="5" w:space="0" w:color="000000"/>
              <w:left w:val="single" w:sz="5" w:space="0" w:color="000000"/>
              <w:bottom w:val="single" w:sz="5" w:space="0" w:color="000000"/>
              <w:right w:val="single" w:sz="5" w:space="0" w:color="000000"/>
            </w:tcBorders>
          </w:tcPr>
          <w:p w14:paraId="3D0235D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772B94CA"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53D263A9"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Reporting bias assessment</w:t>
            </w:r>
          </w:p>
        </w:tc>
        <w:tc>
          <w:tcPr>
            <w:tcW w:w="615" w:type="dxa"/>
            <w:tcBorders>
              <w:top w:val="single" w:sz="5" w:space="0" w:color="000000"/>
              <w:left w:val="single" w:sz="5" w:space="0" w:color="000000"/>
              <w:bottom w:val="single" w:sz="5" w:space="0" w:color="000000"/>
              <w:right w:val="single" w:sz="5" w:space="0" w:color="000000"/>
            </w:tcBorders>
          </w:tcPr>
          <w:p w14:paraId="494619E5"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9210" w:type="dxa"/>
            <w:tcBorders>
              <w:top w:val="single" w:sz="5" w:space="0" w:color="000000"/>
              <w:left w:val="single" w:sz="5" w:space="0" w:color="000000"/>
              <w:bottom w:val="single" w:sz="5" w:space="0" w:color="000000"/>
              <w:right w:val="single" w:sz="5" w:space="0" w:color="000000"/>
            </w:tcBorders>
          </w:tcPr>
          <w:p w14:paraId="215C3551"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any methods used to assess risk of bias due to missing results in a synthesis (arising from reporting biases).</w:t>
            </w:r>
          </w:p>
        </w:tc>
        <w:tc>
          <w:tcPr>
            <w:tcW w:w="1830" w:type="dxa"/>
            <w:tcBorders>
              <w:top w:val="single" w:sz="5" w:space="0" w:color="000000"/>
              <w:left w:val="single" w:sz="5" w:space="0" w:color="000000"/>
              <w:bottom w:val="single" w:sz="5" w:space="0" w:color="000000"/>
              <w:right w:val="single" w:sz="5" w:space="0" w:color="000000"/>
            </w:tcBorders>
          </w:tcPr>
          <w:p w14:paraId="6976371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6FCE9E42"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5DF7EEC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Certainty assessment</w:t>
            </w:r>
          </w:p>
        </w:tc>
        <w:tc>
          <w:tcPr>
            <w:tcW w:w="615" w:type="dxa"/>
            <w:tcBorders>
              <w:top w:val="single" w:sz="5" w:space="0" w:color="000000"/>
              <w:left w:val="single" w:sz="5" w:space="0" w:color="000000"/>
              <w:bottom w:val="single" w:sz="5" w:space="0" w:color="000000"/>
              <w:right w:val="single" w:sz="5" w:space="0" w:color="000000"/>
            </w:tcBorders>
          </w:tcPr>
          <w:p w14:paraId="0B8F7F8B"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9210" w:type="dxa"/>
            <w:tcBorders>
              <w:top w:val="single" w:sz="5" w:space="0" w:color="000000"/>
              <w:left w:val="single" w:sz="5" w:space="0" w:color="000000"/>
              <w:bottom w:val="single" w:sz="5" w:space="0" w:color="000000"/>
              <w:right w:val="single" w:sz="5" w:space="0" w:color="000000"/>
            </w:tcBorders>
          </w:tcPr>
          <w:p w14:paraId="1B1C9CAA"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any methods used to assess certainty (or confidence) in the body of evidence for an outcome.</w:t>
            </w:r>
          </w:p>
        </w:tc>
        <w:tc>
          <w:tcPr>
            <w:tcW w:w="1830" w:type="dxa"/>
            <w:tcBorders>
              <w:top w:val="single" w:sz="5" w:space="0" w:color="000000"/>
              <w:left w:val="single" w:sz="5" w:space="0" w:color="000000"/>
              <w:bottom w:val="single" w:sz="5" w:space="0" w:color="000000"/>
              <w:right w:val="single" w:sz="5" w:space="0" w:color="000000"/>
            </w:tcBorders>
          </w:tcPr>
          <w:p w14:paraId="33B2DCD5"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6E6A0E43" w14:textId="77777777" w:rsidTr="00D86880">
        <w:trPr>
          <w:trHeight w:val="24"/>
        </w:trPr>
        <w:tc>
          <w:tcPr>
            <w:tcW w:w="11490" w:type="dxa"/>
            <w:gridSpan w:val="3"/>
            <w:tcBorders>
              <w:top w:val="single" w:sz="5" w:space="0" w:color="000000"/>
              <w:left w:val="single" w:sz="5" w:space="0" w:color="000000"/>
              <w:bottom w:val="single" w:sz="5" w:space="0" w:color="000000"/>
              <w:right w:val="single" w:sz="5" w:space="0" w:color="000000"/>
            </w:tcBorders>
            <w:shd w:val="clear" w:color="auto" w:fill="FFFFCC"/>
            <w:vAlign w:val="center"/>
          </w:tcPr>
          <w:p w14:paraId="649A43BC" w14:textId="77777777" w:rsidR="005714A1" w:rsidRDefault="005714A1" w:rsidP="00D86880">
            <w:pPr>
              <w:widowControl w:val="0"/>
              <w:spacing w:line="48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RESULTS </w:t>
            </w:r>
          </w:p>
        </w:tc>
        <w:tc>
          <w:tcPr>
            <w:tcW w:w="1830" w:type="dxa"/>
            <w:tcBorders>
              <w:top w:val="single" w:sz="5" w:space="0" w:color="000000"/>
              <w:left w:val="single" w:sz="5" w:space="0" w:color="000000"/>
              <w:bottom w:val="single" w:sz="5" w:space="0" w:color="000000"/>
              <w:right w:val="single" w:sz="5" w:space="0" w:color="000000"/>
            </w:tcBorders>
            <w:shd w:val="clear" w:color="auto" w:fill="FFFFCC"/>
          </w:tcPr>
          <w:p w14:paraId="0D256395" w14:textId="77777777" w:rsidR="005714A1" w:rsidRDefault="005714A1" w:rsidP="00D86880">
            <w:pPr>
              <w:widowControl w:val="0"/>
              <w:spacing w:line="480" w:lineRule="auto"/>
              <w:jc w:val="center"/>
              <w:rPr>
                <w:rFonts w:ascii="Times New Roman" w:eastAsia="Times New Roman" w:hAnsi="Times New Roman" w:cs="Times New Roman"/>
                <w:sz w:val="20"/>
                <w:szCs w:val="20"/>
              </w:rPr>
            </w:pPr>
          </w:p>
        </w:tc>
      </w:tr>
      <w:tr w:rsidR="005714A1" w14:paraId="61DFD80A" w14:textId="77777777" w:rsidTr="00D86880">
        <w:trPr>
          <w:trHeight w:val="48"/>
        </w:trPr>
        <w:tc>
          <w:tcPr>
            <w:tcW w:w="1665" w:type="dxa"/>
            <w:vMerge w:val="restart"/>
            <w:tcBorders>
              <w:top w:val="single" w:sz="5" w:space="0" w:color="000000"/>
              <w:left w:val="single" w:sz="5" w:space="0" w:color="000000"/>
              <w:bottom w:val="single" w:sz="5" w:space="0" w:color="000000"/>
              <w:right w:val="single" w:sz="5" w:space="0" w:color="000000"/>
            </w:tcBorders>
          </w:tcPr>
          <w:p w14:paraId="75B216F3"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Study selection </w:t>
            </w:r>
          </w:p>
        </w:tc>
        <w:tc>
          <w:tcPr>
            <w:tcW w:w="615" w:type="dxa"/>
            <w:tcBorders>
              <w:top w:val="single" w:sz="5" w:space="0" w:color="000000"/>
              <w:left w:val="single" w:sz="5" w:space="0" w:color="000000"/>
              <w:bottom w:val="single" w:sz="5" w:space="0" w:color="000000"/>
              <w:right w:val="single" w:sz="5" w:space="0" w:color="000000"/>
            </w:tcBorders>
          </w:tcPr>
          <w:p w14:paraId="4C2756CC"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16a</w:t>
            </w:r>
          </w:p>
        </w:tc>
        <w:tc>
          <w:tcPr>
            <w:tcW w:w="9210" w:type="dxa"/>
            <w:tcBorders>
              <w:top w:val="single" w:sz="5" w:space="0" w:color="000000"/>
              <w:left w:val="single" w:sz="5" w:space="0" w:color="000000"/>
              <w:bottom w:val="single" w:sz="5" w:space="0" w:color="000000"/>
              <w:right w:val="single" w:sz="5" w:space="0" w:color="000000"/>
            </w:tcBorders>
          </w:tcPr>
          <w:p w14:paraId="1C39A6F4"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Describe the results of the search and selection process, from the number of records identified in the search to </w:t>
            </w:r>
            <w:r>
              <w:rPr>
                <w:rFonts w:ascii="Times New Roman" w:eastAsia="Times New Roman" w:hAnsi="Times New Roman" w:cs="Times New Roman"/>
                <w:sz w:val="20"/>
                <w:szCs w:val="20"/>
              </w:rPr>
              <w:lastRenderedPageBreak/>
              <w:t>the number of studies included in the review, ideally using a flow diagram.</w:t>
            </w:r>
          </w:p>
        </w:tc>
        <w:tc>
          <w:tcPr>
            <w:tcW w:w="1830" w:type="dxa"/>
            <w:tcBorders>
              <w:top w:val="single" w:sz="5" w:space="0" w:color="000000"/>
              <w:left w:val="single" w:sz="5" w:space="0" w:color="000000"/>
              <w:bottom w:val="single" w:sz="5" w:space="0" w:color="000000"/>
              <w:right w:val="single" w:sz="5" w:space="0" w:color="000000"/>
            </w:tcBorders>
          </w:tcPr>
          <w:p w14:paraId="6AC6A61F"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Figure 2</w:t>
            </w:r>
          </w:p>
        </w:tc>
      </w:tr>
      <w:tr w:rsidR="005714A1" w14:paraId="26CAEDC9"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636FDD4F"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558A0C32"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16b</w:t>
            </w:r>
          </w:p>
        </w:tc>
        <w:tc>
          <w:tcPr>
            <w:tcW w:w="9210" w:type="dxa"/>
            <w:tcBorders>
              <w:top w:val="single" w:sz="5" w:space="0" w:color="000000"/>
              <w:left w:val="single" w:sz="5" w:space="0" w:color="000000"/>
              <w:bottom w:val="single" w:sz="5" w:space="0" w:color="000000"/>
              <w:right w:val="single" w:sz="5" w:space="0" w:color="000000"/>
            </w:tcBorders>
          </w:tcPr>
          <w:p w14:paraId="2C02B49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Cite studies that might appear to meet the inclusion criteria, but which were excluded, and explain why they were excluded.</w:t>
            </w:r>
          </w:p>
        </w:tc>
        <w:tc>
          <w:tcPr>
            <w:tcW w:w="1830" w:type="dxa"/>
            <w:tcBorders>
              <w:top w:val="single" w:sz="5" w:space="0" w:color="000000"/>
              <w:left w:val="single" w:sz="5" w:space="0" w:color="000000"/>
              <w:bottom w:val="single" w:sz="5" w:space="0" w:color="000000"/>
              <w:right w:val="single" w:sz="5" w:space="0" w:color="000000"/>
            </w:tcBorders>
          </w:tcPr>
          <w:p w14:paraId="7ED75AFF"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54565F1D" w14:textId="77777777" w:rsidTr="00D86880">
        <w:trPr>
          <w:trHeight w:val="103"/>
        </w:trPr>
        <w:tc>
          <w:tcPr>
            <w:tcW w:w="1665" w:type="dxa"/>
            <w:tcBorders>
              <w:top w:val="single" w:sz="5" w:space="0" w:color="000000"/>
              <w:left w:val="single" w:sz="5" w:space="0" w:color="000000"/>
              <w:bottom w:val="single" w:sz="5" w:space="0" w:color="000000"/>
              <w:right w:val="single" w:sz="5" w:space="0" w:color="000000"/>
            </w:tcBorders>
          </w:tcPr>
          <w:p w14:paraId="52110951"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Study characteristics </w:t>
            </w:r>
          </w:p>
        </w:tc>
        <w:tc>
          <w:tcPr>
            <w:tcW w:w="615" w:type="dxa"/>
            <w:tcBorders>
              <w:top w:val="single" w:sz="5" w:space="0" w:color="000000"/>
              <w:left w:val="single" w:sz="5" w:space="0" w:color="000000"/>
              <w:bottom w:val="single" w:sz="5" w:space="0" w:color="000000"/>
              <w:right w:val="single" w:sz="5" w:space="0" w:color="000000"/>
            </w:tcBorders>
          </w:tcPr>
          <w:p w14:paraId="729F4556"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9210" w:type="dxa"/>
            <w:tcBorders>
              <w:top w:val="single" w:sz="5" w:space="0" w:color="000000"/>
              <w:left w:val="single" w:sz="5" w:space="0" w:color="000000"/>
              <w:bottom w:val="single" w:sz="5" w:space="0" w:color="000000"/>
              <w:right w:val="single" w:sz="5" w:space="0" w:color="000000"/>
            </w:tcBorders>
          </w:tcPr>
          <w:p w14:paraId="6333D71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Cite each included study and present its characteristics.</w:t>
            </w:r>
          </w:p>
        </w:tc>
        <w:tc>
          <w:tcPr>
            <w:tcW w:w="1830" w:type="dxa"/>
            <w:tcBorders>
              <w:top w:val="single" w:sz="5" w:space="0" w:color="000000"/>
              <w:left w:val="single" w:sz="5" w:space="0" w:color="000000"/>
              <w:bottom w:val="single" w:sz="5" w:space="0" w:color="000000"/>
              <w:right w:val="single" w:sz="5" w:space="0" w:color="000000"/>
            </w:tcBorders>
          </w:tcPr>
          <w:p w14:paraId="56CEBDD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Table 3</w:t>
            </w:r>
          </w:p>
        </w:tc>
      </w:tr>
      <w:tr w:rsidR="005714A1" w14:paraId="0BB65F0F"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108BAC3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Risk of bias in studies </w:t>
            </w:r>
          </w:p>
        </w:tc>
        <w:tc>
          <w:tcPr>
            <w:tcW w:w="615" w:type="dxa"/>
            <w:tcBorders>
              <w:top w:val="single" w:sz="5" w:space="0" w:color="000000"/>
              <w:left w:val="single" w:sz="5" w:space="0" w:color="000000"/>
              <w:bottom w:val="single" w:sz="5" w:space="0" w:color="000000"/>
              <w:right w:val="single" w:sz="5" w:space="0" w:color="000000"/>
            </w:tcBorders>
          </w:tcPr>
          <w:p w14:paraId="595B4553"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9210" w:type="dxa"/>
            <w:tcBorders>
              <w:top w:val="single" w:sz="5" w:space="0" w:color="000000"/>
              <w:left w:val="single" w:sz="5" w:space="0" w:color="000000"/>
              <w:bottom w:val="single" w:sz="5" w:space="0" w:color="000000"/>
              <w:right w:val="single" w:sz="5" w:space="0" w:color="000000"/>
            </w:tcBorders>
          </w:tcPr>
          <w:p w14:paraId="1D7F5E9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Present assessments of risk of bias for each included study.</w:t>
            </w:r>
          </w:p>
        </w:tc>
        <w:tc>
          <w:tcPr>
            <w:tcW w:w="1830" w:type="dxa"/>
            <w:tcBorders>
              <w:top w:val="single" w:sz="5" w:space="0" w:color="000000"/>
              <w:left w:val="single" w:sz="5" w:space="0" w:color="000000"/>
              <w:bottom w:val="single" w:sz="5" w:space="0" w:color="000000"/>
              <w:right w:val="single" w:sz="5" w:space="0" w:color="000000"/>
            </w:tcBorders>
          </w:tcPr>
          <w:p w14:paraId="3A5C8DB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Table 2</w:t>
            </w:r>
          </w:p>
        </w:tc>
      </w:tr>
      <w:tr w:rsidR="005714A1" w14:paraId="40ADDC71"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6E697C4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Results of individual studies </w:t>
            </w:r>
          </w:p>
        </w:tc>
        <w:tc>
          <w:tcPr>
            <w:tcW w:w="615" w:type="dxa"/>
            <w:tcBorders>
              <w:top w:val="single" w:sz="5" w:space="0" w:color="000000"/>
              <w:left w:val="single" w:sz="5" w:space="0" w:color="000000"/>
              <w:bottom w:val="single" w:sz="5" w:space="0" w:color="000000"/>
              <w:right w:val="single" w:sz="5" w:space="0" w:color="000000"/>
            </w:tcBorders>
          </w:tcPr>
          <w:p w14:paraId="5FD22BC6"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9210" w:type="dxa"/>
            <w:tcBorders>
              <w:top w:val="single" w:sz="5" w:space="0" w:color="000000"/>
              <w:left w:val="single" w:sz="5" w:space="0" w:color="000000"/>
              <w:bottom w:val="single" w:sz="5" w:space="0" w:color="000000"/>
              <w:right w:val="single" w:sz="5" w:space="0" w:color="000000"/>
            </w:tcBorders>
          </w:tcPr>
          <w:p w14:paraId="1CE645B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all outcomes, present, for each study: (a) summary statistics for each group (where appropriate) and (b) an effect estimate and its precision (e.g. confidence/credible interval), ideally using structured tables or plots.</w:t>
            </w:r>
          </w:p>
        </w:tc>
        <w:tc>
          <w:tcPr>
            <w:tcW w:w="1830" w:type="dxa"/>
            <w:tcBorders>
              <w:top w:val="single" w:sz="5" w:space="0" w:color="000000"/>
              <w:left w:val="single" w:sz="5" w:space="0" w:color="000000"/>
              <w:bottom w:val="single" w:sz="5" w:space="0" w:color="000000"/>
              <w:right w:val="single" w:sz="5" w:space="0" w:color="000000"/>
            </w:tcBorders>
          </w:tcPr>
          <w:p w14:paraId="490E3256"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Table 3</w:t>
            </w:r>
          </w:p>
        </w:tc>
      </w:tr>
      <w:tr w:rsidR="005714A1" w14:paraId="309B32BC" w14:textId="77777777" w:rsidTr="00D86880">
        <w:trPr>
          <w:trHeight w:val="48"/>
        </w:trPr>
        <w:tc>
          <w:tcPr>
            <w:tcW w:w="1665" w:type="dxa"/>
            <w:vMerge w:val="restart"/>
            <w:tcBorders>
              <w:top w:val="single" w:sz="5" w:space="0" w:color="000000"/>
              <w:left w:val="single" w:sz="5" w:space="0" w:color="000000"/>
              <w:bottom w:val="single" w:sz="5" w:space="0" w:color="000000"/>
              <w:right w:val="single" w:sz="5" w:space="0" w:color="000000"/>
            </w:tcBorders>
          </w:tcPr>
          <w:p w14:paraId="68EEB4AA"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Results of syntheses</w:t>
            </w:r>
          </w:p>
        </w:tc>
        <w:tc>
          <w:tcPr>
            <w:tcW w:w="615" w:type="dxa"/>
            <w:tcBorders>
              <w:top w:val="single" w:sz="5" w:space="0" w:color="000000"/>
              <w:left w:val="single" w:sz="5" w:space="0" w:color="000000"/>
              <w:bottom w:val="single" w:sz="5" w:space="0" w:color="000000"/>
              <w:right w:val="single" w:sz="5" w:space="0" w:color="000000"/>
            </w:tcBorders>
          </w:tcPr>
          <w:p w14:paraId="2895C0E4"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20a</w:t>
            </w:r>
          </w:p>
        </w:tc>
        <w:tc>
          <w:tcPr>
            <w:tcW w:w="9210" w:type="dxa"/>
            <w:tcBorders>
              <w:top w:val="single" w:sz="5" w:space="0" w:color="000000"/>
              <w:left w:val="single" w:sz="5" w:space="0" w:color="000000"/>
              <w:bottom w:val="single" w:sz="5" w:space="0" w:color="000000"/>
              <w:right w:val="single" w:sz="5" w:space="0" w:color="000000"/>
            </w:tcBorders>
          </w:tcPr>
          <w:p w14:paraId="1415AA3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each synthesis, briefly summarise the characteristics and risk of bias among contributing studies.</w:t>
            </w:r>
          </w:p>
        </w:tc>
        <w:tc>
          <w:tcPr>
            <w:tcW w:w="1830" w:type="dxa"/>
            <w:tcBorders>
              <w:top w:val="single" w:sz="5" w:space="0" w:color="000000"/>
              <w:left w:val="single" w:sz="5" w:space="0" w:color="000000"/>
              <w:bottom w:val="single" w:sz="5" w:space="0" w:color="000000"/>
              <w:right w:val="single" w:sz="5" w:space="0" w:color="000000"/>
            </w:tcBorders>
          </w:tcPr>
          <w:p w14:paraId="1E2FF373"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6F4CA293" w14:textId="77777777" w:rsidTr="00D86880">
        <w:trPr>
          <w:trHeight w:val="203"/>
        </w:trPr>
        <w:tc>
          <w:tcPr>
            <w:tcW w:w="1665" w:type="dxa"/>
            <w:vMerge/>
            <w:tcBorders>
              <w:top w:val="single" w:sz="5" w:space="0" w:color="000000"/>
              <w:left w:val="single" w:sz="5" w:space="0" w:color="000000"/>
              <w:bottom w:val="single" w:sz="5" w:space="0" w:color="000000"/>
              <w:right w:val="single" w:sz="5" w:space="0" w:color="000000"/>
            </w:tcBorders>
          </w:tcPr>
          <w:p w14:paraId="4CF6135D"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1751B20D"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20b</w:t>
            </w:r>
          </w:p>
        </w:tc>
        <w:tc>
          <w:tcPr>
            <w:tcW w:w="9210" w:type="dxa"/>
            <w:tcBorders>
              <w:top w:val="single" w:sz="5" w:space="0" w:color="000000"/>
              <w:left w:val="single" w:sz="5" w:space="0" w:color="000000"/>
              <w:bottom w:val="single" w:sz="5" w:space="0" w:color="000000"/>
              <w:right w:val="single" w:sz="5" w:space="0" w:color="000000"/>
            </w:tcBorders>
          </w:tcPr>
          <w:p w14:paraId="3428595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30" w:type="dxa"/>
            <w:tcBorders>
              <w:top w:val="single" w:sz="5" w:space="0" w:color="000000"/>
              <w:left w:val="single" w:sz="5" w:space="0" w:color="000000"/>
              <w:bottom w:val="single" w:sz="5" w:space="0" w:color="000000"/>
              <w:right w:val="single" w:sz="5" w:space="0" w:color="000000"/>
            </w:tcBorders>
          </w:tcPr>
          <w:p w14:paraId="0AF8366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Pages 12-15</w:t>
            </w:r>
          </w:p>
        </w:tc>
      </w:tr>
      <w:tr w:rsidR="005714A1" w14:paraId="2295475B"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6A05DD55"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7E08F080"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20c</w:t>
            </w:r>
          </w:p>
        </w:tc>
        <w:tc>
          <w:tcPr>
            <w:tcW w:w="9210" w:type="dxa"/>
            <w:tcBorders>
              <w:top w:val="single" w:sz="5" w:space="0" w:color="000000"/>
              <w:left w:val="single" w:sz="5" w:space="0" w:color="000000"/>
              <w:bottom w:val="single" w:sz="5" w:space="0" w:color="000000"/>
              <w:right w:val="single" w:sz="5" w:space="0" w:color="000000"/>
            </w:tcBorders>
          </w:tcPr>
          <w:p w14:paraId="37FF4A8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Present results of all investigations of possible causes of heterogeneity among study results.</w:t>
            </w:r>
          </w:p>
        </w:tc>
        <w:tc>
          <w:tcPr>
            <w:tcW w:w="1830" w:type="dxa"/>
            <w:tcBorders>
              <w:top w:val="single" w:sz="5" w:space="0" w:color="000000"/>
              <w:left w:val="single" w:sz="5" w:space="0" w:color="000000"/>
              <w:bottom w:val="single" w:sz="5" w:space="0" w:color="000000"/>
              <w:right w:val="single" w:sz="5" w:space="0" w:color="000000"/>
            </w:tcBorders>
          </w:tcPr>
          <w:p w14:paraId="57DBB400"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04CD4A2B"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53DF425A"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37015DCC"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20d</w:t>
            </w:r>
          </w:p>
        </w:tc>
        <w:tc>
          <w:tcPr>
            <w:tcW w:w="9210" w:type="dxa"/>
            <w:tcBorders>
              <w:top w:val="single" w:sz="5" w:space="0" w:color="000000"/>
              <w:left w:val="single" w:sz="5" w:space="0" w:color="000000"/>
              <w:bottom w:val="single" w:sz="5" w:space="0" w:color="000000"/>
              <w:right w:val="single" w:sz="5" w:space="0" w:color="000000"/>
            </w:tcBorders>
          </w:tcPr>
          <w:p w14:paraId="4A78328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Present results of all sensitivity analyses conducted to assess the robustness of the synthesized results.</w:t>
            </w:r>
          </w:p>
        </w:tc>
        <w:tc>
          <w:tcPr>
            <w:tcW w:w="1830" w:type="dxa"/>
            <w:tcBorders>
              <w:top w:val="single" w:sz="5" w:space="0" w:color="000000"/>
              <w:left w:val="single" w:sz="5" w:space="0" w:color="000000"/>
              <w:bottom w:val="single" w:sz="5" w:space="0" w:color="000000"/>
              <w:right w:val="single" w:sz="5" w:space="0" w:color="000000"/>
            </w:tcBorders>
          </w:tcPr>
          <w:p w14:paraId="0038241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018A8B06"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52A315D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Reporting biases</w:t>
            </w:r>
          </w:p>
        </w:tc>
        <w:tc>
          <w:tcPr>
            <w:tcW w:w="615" w:type="dxa"/>
            <w:tcBorders>
              <w:top w:val="single" w:sz="5" w:space="0" w:color="000000"/>
              <w:left w:val="single" w:sz="5" w:space="0" w:color="000000"/>
              <w:bottom w:val="single" w:sz="5" w:space="0" w:color="000000"/>
              <w:right w:val="single" w:sz="5" w:space="0" w:color="000000"/>
            </w:tcBorders>
          </w:tcPr>
          <w:p w14:paraId="558A70A6"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9210" w:type="dxa"/>
            <w:tcBorders>
              <w:top w:val="single" w:sz="5" w:space="0" w:color="000000"/>
              <w:left w:val="single" w:sz="5" w:space="0" w:color="000000"/>
              <w:bottom w:val="single" w:sz="5" w:space="0" w:color="000000"/>
              <w:right w:val="single" w:sz="5" w:space="0" w:color="000000"/>
            </w:tcBorders>
          </w:tcPr>
          <w:p w14:paraId="3B106E31"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Present assessments of risk of bias due to missing results (arising from reporting biases) for each synthesis assessed.</w:t>
            </w:r>
          </w:p>
        </w:tc>
        <w:tc>
          <w:tcPr>
            <w:tcW w:w="1830" w:type="dxa"/>
            <w:tcBorders>
              <w:top w:val="single" w:sz="5" w:space="0" w:color="000000"/>
              <w:left w:val="single" w:sz="5" w:space="0" w:color="000000"/>
              <w:bottom w:val="single" w:sz="5" w:space="0" w:color="000000"/>
              <w:right w:val="single" w:sz="5" w:space="0" w:color="000000"/>
            </w:tcBorders>
          </w:tcPr>
          <w:p w14:paraId="0060182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70CAB6DA"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3B042146"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Certainty of evidence </w:t>
            </w:r>
          </w:p>
        </w:tc>
        <w:tc>
          <w:tcPr>
            <w:tcW w:w="615" w:type="dxa"/>
            <w:tcBorders>
              <w:top w:val="single" w:sz="5" w:space="0" w:color="000000"/>
              <w:left w:val="single" w:sz="5" w:space="0" w:color="000000"/>
              <w:bottom w:val="single" w:sz="5" w:space="0" w:color="000000"/>
              <w:right w:val="single" w:sz="5" w:space="0" w:color="000000"/>
            </w:tcBorders>
          </w:tcPr>
          <w:p w14:paraId="287D5635"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9210" w:type="dxa"/>
            <w:tcBorders>
              <w:top w:val="single" w:sz="5" w:space="0" w:color="000000"/>
              <w:left w:val="single" w:sz="5" w:space="0" w:color="000000"/>
              <w:bottom w:val="single" w:sz="5" w:space="0" w:color="000000"/>
              <w:right w:val="single" w:sz="5" w:space="0" w:color="000000"/>
            </w:tcBorders>
          </w:tcPr>
          <w:p w14:paraId="6B60EAE5"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Present assessments of certainty (or confidence) in the body of evidence for each outcome assessed.</w:t>
            </w:r>
          </w:p>
        </w:tc>
        <w:tc>
          <w:tcPr>
            <w:tcW w:w="1830" w:type="dxa"/>
            <w:tcBorders>
              <w:top w:val="single" w:sz="5" w:space="0" w:color="000000"/>
              <w:left w:val="single" w:sz="5" w:space="0" w:color="000000"/>
              <w:bottom w:val="single" w:sz="5" w:space="0" w:color="000000"/>
              <w:right w:val="single" w:sz="5" w:space="0" w:color="000000"/>
            </w:tcBorders>
          </w:tcPr>
          <w:p w14:paraId="00204383"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5BA7E44C" w14:textId="77777777" w:rsidTr="00D86880">
        <w:trPr>
          <w:trHeight w:val="24"/>
        </w:trPr>
        <w:tc>
          <w:tcPr>
            <w:tcW w:w="11490" w:type="dxa"/>
            <w:gridSpan w:val="3"/>
            <w:tcBorders>
              <w:top w:val="single" w:sz="5" w:space="0" w:color="000000"/>
              <w:left w:val="single" w:sz="5" w:space="0" w:color="000000"/>
              <w:bottom w:val="single" w:sz="5" w:space="0" w:color="000000"/>
              <w:right w:val="single" w:sz="5" w:space="0" w:color="000000"/>
            </w:tcBorders>
            <w:shd w:val="clear" w:color="auto" w:fill="FFFFCC"/>
            <w:vAlign w:val="center"/>
          </w:tcPr>
          <w:p w14:paraId="2BD5C73A" w14:textId="77777777" w:rsidR="005714A1" w:rsidRDefault="005714A1" w:rsidP="00D86880">
            <w:pPr>
              <w:widowControl w:val="0"/>
              <w:spacing w:line="48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DISCUSSION </w:t>
            </w:r>
          </w:p>
        </w:tc>
        <w:tc>
          <w:tcPr>
            <w:tcW w:w="1830" w:type="dxa"/>
            <w:tcBorders>
              <w:top w:val="single" w:sz="5" w:space="0" w:color="000000"/>
              <w:left w:val="single" w:sz="5" w:space="0" w:color="000000"/>
              <w:bottom w:val="single" w:sz="5" w:space="0" w:color="000000"/>
              <w:right w:val="single" w:sz="5" w:space="0" w:color="000000"/>
            </w:tcBorders>
            <w:shd w:val="clear" w:color="auto" w:fill="FFFFCC"/>
          </w:tcPr>
          <w:p w14:paraId="4348D1DD" w14:textId="77777777" w:rsidR="005714A1" w:rsidRDefault="005714A1" w:rsidP="00D86880">
            <w:pPr>
              <w:widowControl w:val="0"/>
              <w:spacing w:line="480" w:lineRule="auto"/>
              <w:jc w:val="center"/>
              <w:rPr>
                <w:rFonts w:ascii="Times New Roman" w:eastAsia="Times New Roman" w:hAnsi="Times New Roman" w:cs="Times New Roman"/>
                <w:sz w:val="20"/>
                <w:szCs w:val="20"/>
              </w:rPr>
            </w:pPr>
          </w:p>
        </w:tc>
      </w:tr>
      <w:tr w:rsidR="005714A1" w14:paraId="4369B3A9" w14:textId="77777777" w:rsidTr="00D86880">
        <w:trPr>
          <w:trHeight w:val="48"/>
        </w:trPr>
        <w:tc>
          <w:tcPr>
            <w:tcW w:w="1665" w:type="dxa"/>
            <w:vMerge w:val="restart"/>
            <w:tcBorders>
              <w:top w:val="single" w:sz="5" w:space="0" w:color="000000"/>
              <w:left w:val="single" w:sz="5" w:space="0" w:color="000000"/>
              <w:bottom w:val="single" w:sz="5" w:space="0" w:color="000000"/>
              <w:right w:val="single" w:sz="5" w:space="0" w:color="000000"/>
            </w:tcBorders>
          </w:tcPr>
          <w:p w14:paraId="52EE2FB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Discussion </w:t>
            </w:r>
          </w:p>
        </w:tc>
        <w:tc>
          <w:tcPr>
            <w:tcW w:w="615" w:type="dxa"/>
            <w:tcBorders>
              <w:top w:val="single" w:sz="5" w:space="0" w:color="000000"/>
              <w:left w:val="single" w:sz="5" w:space="0" w:color="000000"/>
              <w:bottom w:val="single" w:sz="5" w:space="0" w:color="000000"/>
              <w:right w:val="single" w:sz="5" w:space="0" w:color="000000"/>
            </w:tcBorders>
          </w:tcPr>
          <w:p w14:paraId="16A98634"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23a</w:t>
            </w:r>
          </w:p>
        </w:tc>
        <w:tc>
          <w:tcPr>
            <w:tcW w:w="9210" w:type="dxa"/>
            <w:tcBorders>
              <w:top w:val="single" w:sz="5" w:space="0" w:color="000000"/>
              <w:left w:val="single" w:sz="5" w:space="0" w:color="000000"/>
              <w:bottom w:val="single" w:sz="5" w:space="0" w:color="000000"/>
              <w:right w:val="single" w:sz="5" w:space="0" w:color="000000"/>
            </w:tcBorders>
          </w:tcPr>
          <w:p w14:paraId="008E4300"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Provide a general interpretation of the results in the context of other evidence.</w:t>
            </w:r>
          </w:p>
        </w:tc>
        <w:tc>
          <w:tcPr>
            <w:tcW w:w="1830" w:type="dxa"/>
            <w:tcBorders>
              <w:top w:val="single" w:sz="5" w:space="0" w:color="000000"/>
              <w:left w:val="single" w:sz="5" w:space="0" w:color="000000"/>
              <w:bottom w:val="single" w:sz="5" w:space="0" w:color="000000"/>
              <w:right w:val="single" w:sz="5" w:space="0" w:color="000000"/>
            </w:tcBorders>
          </w:tcPr>
          <w:p w14:paraId="6CACFCC3"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Pages 23-25</w:t>
            </w:r>
          </w:p>
        </w:tc>
      </w:tr>
      <w:tr w:rsidR="005714A1" w14:paraId="122B383E"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491E3249"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267BF6D5"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23b</w:t>
            </w:r>
          </w:p>
        </w:tc>
        <w:tc>
          <w:tcPr>
            <w:tcW w:w="9210" w:type="dxa"/>
            <w:tcBorders>
              <w:top w:val="single" w:sz="5" w:space="0" w:color="000000"/>
              <w:left w:val="single" w:sz="5" w:space="0" w:color="000000"/>
              <w:bottom w:val="single" w:sz="5" w:space="0" w:color="000000"/>
              <w:right w:val="single" w:sz="5" w:space="0" w:color="000000"/>
            </w:tcBorders>
          </w:tcPr>
          <w:p w14:paraId="7CB91AD3"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Discuss any limitations of the evidence included in the review.</w:t>
            </w:r>
          </w:p>
        </w:tc>
        <w:tc>
          <w:tcPr>
            <w:tcW w:w="1830" w:type="dxa"/>
            <w:tcBorders>
              <w:top w:val="single" w:sz="5" w:space="0" w:color="000000"/>
              <w:left w:val="single" w:sz="5" w:space="0" w:color="000000"/>
              <w:bottom w:val="single" w:sz="5" w:space="0" w:color="000000"/>
              <w:right w:val="single" w:sz="5" w:space="0" w:color="000000"/>
            </w:tcBorders>
          </w:tcPr>
          <w:p w14:paraId="6446FB80"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 25</w:t>
            </w:r>
          </w:p>
        </w:tc>
      </w:tr>
      <w:tr w:rsidR="005714A1" w14:paraId="04EF376E"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1F1954BA"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4" w:space="0" w:color="000000"/>
              <w:right w:val="single" w:sz="5" w:space="0" w:color="000000"/>
            </w:tcBorders>
          </w:tcPr>
          <w:p w14:paraId="29D431DF"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23c</w:t>
            </w:r>
          </w:p>
        </w:tc>
        <w:tc>
          <w:tcPr>
            <w:tcW w:w="9210" w:type="dxa"/>
            <w:tcBorders>
              <w:top w:val="single" w:sz="5" w:space="0" w:color="000000"/>
              <w:left w:val="single" w:sz="5" w:space="0" w:color="000000"/>
              <w:bottom w:val="single" w:sz="5" w:space="0" w:color="000000"/>
              <w:right w:val="single" w:sz="5" w:space="0" w:color="000000"/>
            </w:tcBorders>
          </w:tcPr>
          <w:p w14:paraId="4C8A0AB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Discuss any limitations of the review processes used.</w:t>
            </w:r>
          </w:p>
        </w:tc>
        <w:tc>
          <w:tcPr>
            <w:tcW w:w="1830" w:type="dxa"/>
            <w:tcBorders>
              <w:top w:val="single" w:sz="5" w:space="0" w:color="000000"/>
              <w:left w:val="single" w:sz="5" w:space="0" w:color="000000"/>
              <w:bottom w:val="single" w:sz="5" w:space="0" w:color="000000"/>
              <w:right w:val="single" w:sz="5" w:space="0" w:color="000000"/>
            </w:tcBorders>
          </w:tcPr>
          <w:p w14:paraId="66CA962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 29</w:t>
            </w:r>
          </w:p>
        </w:tc>
      </w:tr>
      <w:tr w:rsidR="005714A1" w14:paraId="38F4BE98"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682E2198"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4" w:space="0" w:color="000000"/>
              <w:left w:val="single" w:sz="5" w:space="0" w:color="000000"/>
              <w:bottom w:val="single" w:sz="5" w:space="0" w:color="000000"/>
              <w:right w:val="single" w:sz="4" w:space="0" w:color="000000"/>
            </w:tcBorders>
          </w:tcPr>
          <w:p w14:paraId="4CCBAB9F"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23d</w:t>
            </w:r>
          </w:p>
        </w:tc>
        <w:tc>
          <w:tcPr>
            <w:tcW w:w="9210" w:type="dxa"/>
            <w:tcBorders>
              <w:top w:val="single" w:sz="5" w:space="0" w:color="000000"/>
              <w:left w:val="single" w:sz="4" w:space="0" w:color="000000"/>
              <w:bottom w:val="single" w:sz="5" w:space="0" w:color="000000"/>
              <w:right w:val="single" w:sz="5" w:space="0" w:color="000000"/>
            </w:tcBorders>
          </w:tcPr>
          <w:p w14:paraId="3C83BFB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Discuss implications of the results for practice, policy, and future research.</w:t>
            </w:r>
          </w:p>
        </w:tc>
        <w:tc>
          <w:tcPr>
            <w:tcW w:w="1830" w:type="dxa"/>
            <w:tcBorders>
              <w:top w:val="single" w:sz="5" w:space="0" w:color="000000"/>
              <w:left w:val="single" w:sz="5" w:space="0" w:color="000000"/>
              <w:bottom w:val="single" w:sz="5" w:space="0" w:color="000000"/>
              <w:right w:val="single" w:sz="5" w:space="0" w:color="000000"/>
            </w:tcBorders>
          </w:tcPr>
          <w:p w14:paraId="255E97D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Pages 28-29</w:t>
            </w:r>
          </w:p>
        </w:tc>
      </w:tr>
      <w:tr w:rsidR="005714A1" w14:paraId="339883AB" w14:textId="77777777" w:rsidTr="00D86880">
        <w:trPr>
          <w:trHeight w:val="24"/>
        </w:trPr>
        <w:tc>
          <w:tcPr>
            <w:tcW w:w="11490" w:type="dxa"/>
            <w:gridSpan w:val="3"/>
            <w:tcBorders>
              <w:top w:val="single" w:sz="5" w:space="0" w:color="000000"/>
              <w:left w:val="single" w:sz="5" w:space="0" w:color="000000"/>
              <w:bottom w:val="single" w:sz="5" w:space="0" w:color="000000"/>
              <w:right w:val="single" w:sz="5" w:space="0" w:color="000000"/>
            </w:tcBorders>
            <w:shd w:val="clear" w:color="auto" w:fill="FFFFCC"/>
            <w:vAlign w:val="center"/>
          </w:tcPr>
          <w:p w14:paraId="2040A7BC" w14:textId="77777777" w:rsidR="005714A1" w:rsidRDefault="005714A1" w:rsidP="00D86880">
            <w:pPr>
              <w:widowControl w:val="0"/>
              <w:spacing w:line="48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OTHER INFORMATION</w:t>
            </w:r>
          </w:p>
        </w:tc>
        <w:tc>
          <w:tcPr>
            <w:tcW w:w="1830" w:type="dxa"/>
            <w:tcBorders>
              <w:top w:val="single" w:sz="5" w:space="0" w:color="000000"/>
              <w:left w:val="single" w:sz="5" w:space="0" w:color="000000"/>
              <w:bottom w:val="single" w:sz="5" w:space="0" w:color="000000"/>
              <w:right w:val="single" w:sz="5" w:space="0" w:color="000000"/>
            </w:tcBorders>
            <w:shd w:val="clear" w:color="auto" w:fill="FFFFCC"/>
          </w:tcPr>
          <w:p w14:paraId="6B6F9AF4" w14:textId="77777777" w:rsidR="005714A1" w:rsidRDefault="005714A1" w:rsidP="00D86880">
            <w:pPr>
              <w:widowControl w:val="0"/>
              <w:spacing w:line="480" w:lineRule="auto"/>
              <w:jc w:val="center"/>
              <w:rPr>
                <w:rFonts w:ascii="Times New Roman" w:eastAsia="Times New Roman" w:hAnsi="Times New Roman" w:cs="Times New Roman"/>
                <w:sz w:val="20"/>
                <w:szCs w:val="20"/>
              </w:rPr>
            </w:pPr>
          </w:p>
        </w:tc>
      </w:tr>
      <w:tr w:rsidR="005714A1" w14:paraId="6EA7199C" w14:textId="77777777" w:rsidTr="00D86880">
        <w:trPr>
          <w:trHeight w:val="48"/>
        </w:trPr>
        <w:tc>
          <w:tcPr>
            <w:tcW w:w="1665" w:type="dxa"/>
            <w:vMerge w:val="restart"/>
            <w:tcBorders>
              <w:top w:val="single" w:sz="5" w:space="0" w:color="000000"/>
              <w:left w:val="single" w:sz="5" w:space="0" w:color="000000"/>
              <w:bottom w:val="single" w:sz="5" w:space="0" w:color="000000"/>
              <w:right w:val="single" w:sz="5" w:space="0" w:color="000000"/>
            </w:tcBorders>
          </w:tcPr>
          <w:p w14:paraId="7D0008D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Registration and protocol</w:t>
            </w:r>
          </w:p>
        </w:tc>
        <w:tc>
          <w:tcPr>
            <w:tcW w:w="615" w:type="dxa"/>
            <w:tcBorders>
              <w:top w:val="single" w:sz="5" w:space="0" w:color="000000"/>
              <w:left w:val="single" w:sz="5" w:space="0" w:color="000000"/>
              <w:bottom w:val="single" w:sz="5" w:space="0" w:color="000000"/>
              <w:right w:val="single" w:sz="5" w:space="0" w:color="000000"/>
            </w:tcBorders>
          </w:tcPr>
          <w:p w14:paraId="05610D03"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24a</w:t>
            </w:r>
          </w:p>
        </w:tc>
        <w:tc>
          <w:tcPr>
            <w:tcW w:w="9210" w:type="dxa"/>
            <w:tcBorders>
              <w:top w:val="single" w:sz="5" w:space="0" w:color="000000"/>
              <w:left w:val="single" w:sz="5" w:space="0" w:color="000000"/>
              <w:bottom w:val="single" w:sz="5" w:space="0" w:color="000000"/>
              <w:right w:val="single" w:sz="5" w:space="0" w:color="000000"/>
            </w:tcBorders>
          </w:tcPr>
          <w:p w14:paraId="773CCFFA"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Provide registration information for the review, including register name and registration number, or state that the review was not registered.</w:t>
            </w:r>
          </w:p>
        </w:tc>
        <w:tc>
          <w:tcPr>
            <w:tcW w:w="1830" w:type="dxa"/>
            <w:tcBorders>
              <w:top w:val="single" w:sz="5" w:space="0" w:color="000000"/>
              <w:left w:val="single" w:sz="5" w:space="0" w:color="000000"/>
              <w:bottom w:val="single" w:sz="5" w:space="0" w:color="000000"/>
              <w:right w:val="single" w:sz="5" w:space="0" w:color="000000"/>
            </w:tcBorders>
          </w:tcPr>
          <w:p w14:paraId="7303AA3F"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0A6970AF" w14:textId="77777777" w:rsidTr="00D86880">
        <w:trPr>
          <w:trHeight w:val="57"/>
        </w:trPr>
        <w:tc>
          <w:tcPr>
            <w:tcW w:w="1665" w:type="dxa"/>
            <w:vMerge/>
            <w:tcBorders>
              <w:top w:val="single" w:sz="5" w:space="0" w:color="000000"/>
              <w:left w:val="single" w:sz="5" w:space="0" w:color="000000"/>
              <w:bottom w:val="single" w:sz="5" w:space="0" w:color="000000"/>
              <w:right w:val="single" w:sz="5" w:space="0" w:color="000000"/>
            </w:tcBorders>
          </w:tcPr>
          <w:p w14:paraId="1B8E7713"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437AE20D"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24b</w:t>
            </w:r>
          </w:p>
        </w:tc>
        <w:tc>
          <w:tcPr>
            <w:tcW w:w="9210" w:type="dxa"/>
            <w:tcBorders>
              <w:top w:val="single" w:sz="5" w:space="0" w:color="000000"/>
              <w:left w:val="single" w:sz="5" w:space="0" w:color="000000"/>
              <w:bottom w:val="single" w:sz="5" w:space="0" w:color="000000"/>
              <w:right w:val="single" w:sz="5" w:space="0" w:color="000000"/>
            </w:tcBorders>
          </w:tcPr>
          <w:p w14:paraId="5C3EF7DE"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Indicate where the review protocol can be accessed, or state that a protocol was not prepared.</w:t>
            </w:r>
          </w:p>
        </w:tc>
        <w:tc>
          <w:tcPr>
            <w:tcW w:w="1830" w:type="dxa"/>
            <w:tcBorders>
              <w:top w:val="single" w:sz="5" w:space="0" w:color="000000"/>
              <w:left w:val="single" w:sz="5" w:space="0" w:color="000000"/>
              <w:bottom w:val="single" w:sz="5" w:space="0" w:color="000000"/>
              <w:right w:val="single" w:sz="5" w:space="0" w:color="000000"/>
            </w:tcBorders>
          </w:tcPr>
          <w:p w14:paraId="76B7F61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67649074" w14:textId="77777777" w:rsidTr="00D86880">
        <w:trPr>
          <w:trHeight w:val="48"/>
        </w:trPr>
        <w:tc>
          <w:tcPr>
            <w:tcW w:w="1665" w:type="dxa"/>
            <w:vMerge/>
            <w:tcBorders>
              <w:top w:val="single" w:sz="5" w:space="0" w:color="000000"/>
              <w:left w:val="single" w:sz="5" w:space="0" w:color="000000"/>
              <w:bottom w:val="single" w:sz="5" w:space="0" w:color="000000"/>
              <w:right w:val="single" w:sz="5" w:space="0" w:color="000000"/>
            </w:tcBorders>
          </w:tcPr>
          <w:p w14:paraId="0A149B41" w14:textId="77777777" w:rsidR="005714A1" w:rsidRDefault="005714A1" w:rsidP="00D86880">
            <w:pPr>
              <w:widowControl w:val="0"/>
              <w:rPr>
                <w:rFonts w:ascii="Times New Roman" w:eastAsia="Times New Roman" w:hAnsi="Times New Roman" w:cs="Times New Roman"/>
                <w:sz w:val="20"/>
                <w:szCs w:val="20"/>
              </w:rPr>
            </w:pPr>
          </w:p>
        </w:tc>
        <w:tc>
          <w:tcPr>
            <w:tcW w:w="615" w:type="dxa"/>
            <w:tcBorders>
              <w:top w:val="single" w:sz="5" w:space="0" w:color="000000"/>
              <w:left w:val="single" w:sz="5" w:space="0" w:color="000000"/>
              <w:bottom w:val="single" w:sz="5" w:space="0" w:color="000000"/>
              <w:right w:val="single" w:sz="5" w:space="0" w:color="000000"/>
            </w:tcBorders>
          </w:tcPr>
          <w:p w14:paraId="5394D07F"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24c</w:t>
            </w:r>
          </w:p>
        </w:tc>
        <w:tc>
          <w:tcPr>
            <w:tcW w:w="9210" w:type="dxa"/>
            <w:tcBorders>
              <w:top w:val="single" w:sz="5" w:space="0" w:color="000000"/>
              <w:left w:val="single" w:sz="5" w:space="0" w:color="000000"/>
              <w:bottom w:val="single" w:sz="5" w:space="0" w:color="000000"/>
              <w:right w:val="single" w:sz="5" w:space="0" w:color="000000"/>
            </w:tcBorders>
          </w:tcPr>
          <w:p w14:paraId="0F0F87B5"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Describe and explain any amendments to information provided at registration or in the protocol.</w:t>
            </w:r>
          </w:p>
        </w:tc>
        <w:tc>
          <w:tcPr>
            <w:tcW w:w="1830" w:type="dxa"/>
            <w:tcBorders>
              <w:top w:val="single" w:sz="5" w:space="0" w:color="000000"/>
              <w:left w:val="single" w:sz="5" w:space="0" w:color="000000"/>
              <w:bottom w:val="single" w:sz="5" w:space="0" w:color="000000"/>
              <w:right w:val="single" w:sz="5" w:space="0" w:color="000000"/>
            </w:tcBorders>
          </w:tcPr>
          <w:p w14:paraId="61D5EFFC"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5714A1" w14:paraId="6922909D"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1806A04A"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Support</w:t>
            </w:r>
          </w:p>
        </w:tc>
        <w:tc>
          <w:tcPr>
            <w:tcW w:w="615" w:type="dxa"/>
            <w:tcBorders>
              <w:top w:val="single" w:sz="5" w:space="0" w:color="000000"/>
              <w:left w:val="single" w:sz="5" w:space="0" w:color="000000"/>
              <w:bottom w:val="single" w:sz="5" w:space="0" w:color="000000"/>
              <w:right w:val="single" w:sz="5" w:space="0" w:color="000000"/>
            </w:tcBorders>
          </w:tcPr>
          <w:p w14:paraId="513FEACF"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9210" w:type="dxa"/>
            <w:tcBorders>
              <w:top w:val="single" w:sz="5" w:space="0" w:color="000000"/>
              <w:left w:val="single" w:sz="5" w:space="0" w:color="000000"/>
              <w:bottom w:val="single" w:sz="5" w:space="0" w:color="000000"/>
              <w:right w:val="single" w:sz="5" w:space="0" w:color="000000"/>
            </w:tcBorders>
          </w:tcPr>
          <w:p w14:paraId="1C1FDC52"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Describe sources of financial or non-financial support for the review, and the role of the funders or sponsors in </w:t>
            </w:r>
            <w:r>
              <w:rPr>
                <w:rFonts w:ascii="Times New Roman" w:eastAsia="Times New Roman" w:hAnsi="Times New Roman" w:cs="Times New Roman"/>
                <w:sz w:val="20"/>
                <w:szCs w:val="20"/>
              </w:rPr>
              <w:lastRenderedPageBreak/>
              <w:t>the review.</w:t>
            </w:r>
          </w:p>
        </w:tc>
        <w:tc>
          <w:tcPr>
            <w:tcW w:w="1830" w:type="dxa"/>
            <w:tcBorders>
              <w:top w:val="single" w:sz="5" w:space="0" w:color="000000"/>
              <w:left w:val="single" w:sz="5" w:space="0" w:color="000000"/>
              <w:bottom w:val="single" w:sz="5" w:space="0" w:color="000000"/>
              <w:right w:val="single" w:sz="5" w:space="0" w:color="000000"/>
            </w:tcBorders>
          </w:tcPr>
          <w:p w14:paraId="0D53F675"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n/a</w:t>
            </w:r>
          </w:p>
        </w:tc>
      </w:tr>
      <w:tr w:rsidR="005714A1" w14:paraId="25242B39" w14:textId="77777777" w:rsidTr="00D86880">
        <w:trPr>
          <w:trHeight w:val="48"/>
        </w:trPr>
        <w:tc>
          <w:tcPr>
            <w:tcW w:w="1665" w:type="dxa"/>
            <w:tcBorders>
              <w:top w:val="single" w:sz="5" w:space="0" w:color="000000"/>
              <w:left w:val="single" w:sz="5" w:space="0" w:color="000000"/>
              <w:bottom w:val="single" w:sz="5" w:space="0" w:color="000000"/>
              <w:right w:val="single" w:sz="5" w:space="0" w:color="000000"/>
            </w:tcBorders>
          </w:tcPr>
          <w:p w14:paraId="6E12B405"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Competing interests</w:t>
            </w:r>
          </w:p>
        </w:tc>
        <w:tc>
          <w:tcPr>
            <w:tcW w:w="615" w:type="dxa"/>
            <w:tcBorders>
              <w:top w:val="single" w:sz="5" w:space="0" w:color="000000"/>
              <w:left w:val="single" w:sz="5" w:space="0" w:color="000000"/>
              <w:bottom w:val="single" w:sz="5" w:space="0" w:color="000000"/>
              <w:right w:val="single" w:sz="5" w:space="0" w:color="000000"/>
            </w:tcBorders>
          </w:tcPr>
          <w:p w14:paraId="5E910D9D"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26</w:t>
            </w:r>
          </w:p>
        </w:tc>
        <w:tc>
          <w:tcPr>
            <w:tcW w:w="9210" w:type="dxa"/>
            <w:tcBorders>
              <w:top w:val="single" w:sz="5" w:space="0" w:color="000000"/>
              <w:left w:val="single" w:sz="5" w:space="0" w:color="000000"/>
              <w:bottom w:val="single" w:sz="5" w:space="0" w:color="000000"/>
              <w:right w:val="single" w:sz="5" w:space="0" w:color="000000"/>
            </w:tcBorders>
          </w:tcPr>
          <w:p w14:paraId="7DC42C27"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Declare any competing interests of review authors.</w:t>
            </w:r>
          </w:p>
        </w:tc>
        <w:tc>
          <w:tcPr>
            <w:tcW w:w="1830" w:type="dxa"/>
            <w:tcBorders>
              <w:top w:val="single" w:sz="5" w:space="0" w:color="000000"/>
              <w:left w:val="single" w:sz="5" w:space="0" w:color="000000"/>
              <w:bottom w:val="single" w:sz="5" w:space="0" w:color="000000"/>
              <w:right w:val="single" w:sz="5" w:space="0" w:color="000000"/>
            </w:tcBorders>
          </w:tcPr>
          <w:p w14:paraId="69DED87D"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Accompanying letter</w:t>
            </w:r>
          </w:p>
        </w:tc>
      </w:tr>
      <w:tr w:rsidR="005714A1" w14:paraId="09062DBA" w14:textId="77777777" w:rsidTr="00D86880">
        <w:trPr>
          <w:trHeight w:val="219"/>
        </w:trPr>
        <w:tc>
          <w:tcPr>
            <w:tcW w:w="1665" w:type="dxa"/>
            <w:tcBorders>
              <w:top w:val="single" w:sz="5" w:space="0" w:color="000000"/>
              <w:left w:val="single" w:sz="5" w:space="0" w:color="000000"/>
              <w:bottom w:val="single" w:sz="5" w:space="0" w:color="000000"/>
              <w:right w:val="single" w:sz="5" w:space="0" w:color="000000"/>
            </w:tcBorders>
          </w:tcPr>
          <w:p w14:paraId="779AEE30"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Availability of data, code and other materials</w:t>
            </w:r>
          </w:p>
        </w:tc>
        <w:tc>
          <w:tcPr>
            <w:tcW w:w="615" w:type="dxa"/>
            <w:tcBorders>
              <w:top w:val="single" w:sz="5" w:space="0" w:color="000000"/>
              <w:left w:val="single" w:sz="5" w:space="0" w:color="000000"/>
              <w:bottom w:val="single" w:sz="5" w:space="0" w:color="000000"/>
              <w:right w:val="single" w:sz="5" w:space="0" w:color="000000"/>
            </w:tcBorders>
          </w:tcPr>
          <w:p w14:paraId="0DB0A864" w14:textId="77777777" w:rsidR="005714A1" w:rsidRDefault="005714A1" w:rsidP="00D86880">
            <w:pPr>
              <w:widowControl w:val="0"/>
              <w:spacing w:before="40" w:after="40" w:line="48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210" w:type="dxa"/>
            <w:tcBorders>
              <w:top w:val="single" w:sz="5" w:space="0" w:color="000000"/>
              <w:left w:val="single" w:sz="5" w:space="0" w:color="000000"/>
              <w:bottom w:val="single" w:sz="5" w:space="0" w:color="000000"/>
              <w:right w:val="single" w:sz="5" w:space="0" w:color="000000"/>
            </w:tcBorders>
          </w:tcPr>
          <w:p w14:paraId="4D38CF08"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Report which of the following are publicly available and where they can be found: template data collection forms; data extracted from included studies; data used for all analyses; analytic code; any other materials used in the review.</w:t>
            </w:r>
          </w:p>
        </w:tc>
        <w:tc>
          <w:tcPr>
            <w:tcW w:w="1830" w:type="dxa"/>
            <w:tcBorders>
              <w:top w:val="single" w:sz="5" w:space="0" w:color="000000"/>
              <w:left w:val="single" w:sz="5" w:space="0" w:color="000000"/>
              <w:bottom w:val="single" w:sz="5" w:space="0" w:color="000000"/>
              <w:right w:val="single" w:sz="5" w:space="0" w:color="000000"/>
            </w:tcBorders>
          </w:tcPr>
          <w:p w14:paraId="176B436B" w14:textId="77777777" w:rsidR="005714A1" w:rsidRDefault="005714A1" w:rsidP="00D86880">
            <w:pPr>
              <w:widowControl w:val="0"/>
              <w:spacing w:before="40" w:after="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bl>
    <w:p w14:paraId="50DF1717" w14:textId="77777777" w:rsidR="00BC16EB" w:rsidRDefault="00BC16EB">
      <w:pPr>
        <w:spacing w:line="480" w:lineRule="auto"/>
        <w:rPr>
          <w:rFonts w:ascii="Times New Roman" w:eastAsia="Times New Roman" w:hAnsi="Times New Roman" w:cs="Times New Roman"/>
          <w:b/>
          <w:i/>
        </w:rPr>
      </w:pPr>
    </w:p>
    <w:p w14:paraId="56789795" w14:textId="77777777" w:rsidR="00BC16EB" w:rsidRDefault="00BC16EB">
      <w:pPr>
        <w:spacing w:line="480" w:lineRule="auto"/>
        <w:rPr>
          <w:rFonts w:ascii="Times New Roman" w:eastAsia="Times New Roman" w:hAnsi="Times New Roman" w:cs="Times New Roman"/>
          <w:b/>
          <w:sz w:val="24"/>
          <w:szCs w:val="24"/>
        </w:rPr>
      </w:pPr>
    </w:p>
    <w:p w14:paraId="6B5C02B6" w14:textId="77777777" w:rsidR="00BC16EB" w:rsidRDefault="00BC16EB">
      <w:pPr>
        <w:spacing w:line="480" w:lineRule="auto"/>
        <w:ind w:left="566"/>
        <w:jc w:val="both"/>
        <w:rPr>
          <w:rFonts w:ascii="Times New Roman" w:eastAsia="Times New Roman" w:hAnsi="Times New Roman" w:cs="Times New Roman"/>
          <w:b/>
          <w:sz w:val="24"/>
          <w:szCs w:val="24"/>
        </w:rPr>
      </w:pPr>
    </w:p>
    <w:p w14:paraId="351B0C44" w14:textId="77777777" w:rsidR="005714A1" w:rsidRDefault="005714A1">
      <w:pPr>
        <w:spacing w:line="480" w:lineRule="auto"/>
        <w:ind w:left="566"/>
        <w:jc w:val="both"/>
        <w:rPr>
          <w:rFonts w:ascii="Times New Roman" w:eastAsia="Times New Roman" w:hAnsi="Times New Roman" w:cs="Times New Roman"/>
          <w:b/>
          <w:sz w:val="24"/>
          <w:szCs w:val="24"/>
        </w:rPr>
      </w:pPr>
    </w:p>
    <w:p w14:paraId="7CDB0B3E" w14:textId="77777777" w:rsidR="005714A1" w:rsidRDefault="005714A1">
      <w:pPr>
        <w:spacing w:line="480" w:lineRule="auto"/>
        <w:ind w:left="566"/>
        <w:jc w:val="both"/>
        <w:rPr>
          <w:rFonts w:ascii="Times New Roman" w:eastAsia="Times New Roman" w:hAnsi="Times New Roman" w:cs="Times New Roman"/>
          <w:b/>
          <w:sz w:val="24"/>
          <w:szCs w:val="24"/>
        </w:rPr>
      </w:pPr>
    </w:p>
    <w:p w14:paraId="32E87275" w14:textId="77777777" w:rsidR="005714A1" w:rsidRDefault="005714A1">
      <w:pPr>
        <w:spacing w:line="480" w:lineRule="auto"/>
        <w:ind w:left="566"/>
        <w:jc w:val="both"/>
        <w:rPr>
          <w:rFonts w:ascii="Times New Roman" w:eastAsia="Times New Roman" w:hAnsi="Times New Roman" w:cs="Times New Roman"/>
          <w:b/>
          <w:sz w:val="24"/>
          <w:szCs w:val="24"/>
        </w:rPr>
      </w:pPr>
    </w:p>
    <w:p w14:paraId="186CB3E3" w14:textId="77777777" w:rsidR="005714A1" w:rsidRDefault="005714A1">
      <w:pPr>
        <w:spacing w:line="480" w:lineRule="auto"/>
        <w:ind w:left="566"/>
        <w:jc w:val="both"/>
        <w:rPr>
          <w:rFonts w:ascii="Times New Roman" w:eastAsia="Times New Roman" w:hAnsi="Times New Roman" w:cs="Times New Roman"/>
          <w:b/>
          <w:sz w:val="24"/>
          <w:szCs w:val="24"/>
        </w:rPr>
      </w:pPr>
    </w:p>
    <w:p w14:paraId="677F1671" w14:textId="77777777" w:rsidR="005714A1" w:rsidRDefault="005714A1">
      <w:pPr>
        <w:spacing w:line="480" w:lineRule="auto"/>
        <w:ind w:left="566"/>
        <w:jc w:val="both"/>
        <w:rPr>
          <w:rFonts w:ascii="Times New Roman" w:eastAsia="Times New Roman" w:hAnsi="Times New Roman" w:cs="Times New Roman"/>
          <w:b/>
          <w:sz w:val="24"/>
          <w:szCs w:val="24"/>
        </w:rPr>
      </w:pPr>
    </w:p>
    <w:p w14:paraId="6323CE90" w14:textId="77777777" w:rsidR="005714A1" w:rsidRDefault="005714A1">
      <w:pPr>
        <w:spacing w:line="480" w:lineRule="auto"/>
        <w:ind w:left="566"/>
        <w:jc w:val="both"/>
        <w:rPr>
          <w:rFonts w:ascii="Times New Roman" w:eastAsia="Times New Roman" w:hAnsi="Times New Roman" w:cs="Times New Roman"/>
          <w:b/>
          <w:sz w:val="24"/>
          <w:szCs w:val="24"/>
        </w:rPr>
      </w:pPr>
    </w:p>
    <w:p w14:paraId="0F9EE9DB" w14:textId="77777777" w:rsidR="005714A1" w:rsidRDefault="005714A1">
      <w:pPr>
        <w:spacing w:line="480" w:lineRule="auto"/>
        <w:ind w:left="566"/>
        <w:jc w:val="both"/>
        <w:rPr>
          <w:rFonts w:ascii="Times New Roman" w:eastAsia="Times New Roman" w:hAnsi="Times New Roman" w:cs="Times New Roman"/>
          <w:b/>
          <w:sz w:val="24"/>
          <w:szCs w:val="24"/>
        </w:rPr>
      </w:pPr>
    </w:p>
    <w:p w14:paraId="27FFF9E0" w14:textId="77777777" w:rsidR="005714A1" w:rsidRDefault="005714A1">
      <w:pPr>
        <w:spacing w:line="480" w:lineRule="auto"/>
        <w:ind w:left="566"/>
        <w:jc w:val="both"/>
        <w:rPr>
          <w:rFonts w:ascii="Times New Roman" w:eastAsia="Times New Roman" w:hAnsi="Times New Roman" w:cs="Times New Roman"/>
          <w:b/>
          <w:sz w:val="24"/>
          <w:szCs w:val="24"/>
        </w:rPr>
      </w:pPr>
    </w:p>
    <w:p w14:paraId="77BD66F4" w14:textId="68A0A7FE" w:rsidR="005714A1" w:rsidRDefault="005714A1" w:rsidP="005714A1">
      <w:pPr>
        <w:spacing w:line="48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Table S</w:t>
      </w:r>
      <w:r>
        <w:rPr>
          <w:rFonts w:ascii="Times New Roman" w:eastAsia="Times New Roman" w:hAnsi="Times New Roman" w:cs="Times New Roman"/>
          <w:b/>
          <w:sz w:val="20"/>
          <w:szCs w:val="20"/>
        </w:rPr>
        <w:t>2</w:t>
      </w:r>
      <w:r>
        <w:rPr>
          <w:rFonts w:ascii="Times New Roman" w:eastAsia="Times New Roman" w:hAnsi="Times New Roman" w:cs="Times New Roman"/>
          <w:b/>
          <w:sz w:val="20"/>
          <w:szCs w:val="20"/>
        </w:rPr>
        <w:t>. Risk of Bias within the JBI framework</w:t>
      </w:r>
    </w:p>
    <w:tbl>
      <w:tblPr>
        <w:tblW w:w="13410" w:type="dxa"/>
        <w:tblLayout w:type="fixed"/>
        <w:tblLook w:val="0400" w:firstRow="0" w:lastRow="0" w:firstColumn="0" w:lastColumn="0" w:noHBand="0" w:noVBand="1"/>
      </w:tblPr>
      <w:tblGrid>
        <w:gridCol w:w="1185"/>
        <w:gridCol w:w="4515"/>
        <w:gridCol w:w="645"/>
        <w:gridCol w:w="630"/>
        <w:gridCol w:w="645"/>
        <w:gridCol w:w="630"/>
        <w:gridCol w:w="615"/>
        <w:gridCol w:w="600"/>
        <w:gridCol w:w="600"/>
        <w:gridCol w:w="600"/>
        <w:gridCol w:w="615"/>
        <w:gridCol w:w="690"/>
        <w:gridCol w:w="675"/>
        <w:gridCol w:w="765"/>
      </w:tblGrid>
      <w:tr w:rsidR="005714A1" w14:paraId="64491F15"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3823A031" w14:textId="77777777" w:rsidR="005714A1" w:rsidRDefault="005714A1" w:rsidP="00D86880">
            <w:pPr>
              <w:spacing w:line="480" w:lineRule="auto"/>
              <w:rPr>
                <w:rFonts w:ascii="Times New Roman" w:eastAsia="Times New Roman" w:hAnsi="Times New Roman" w:cs="Times New Roman"/>
                <w:b/>
                <w:sz w:val="18"/>
                <w:szCs w:val="18"/>
              </w:rPr>
            </w:pPr>
          </w:p>
        </w:tc>
        <w:tc>
          <w:tcPr>
            <w:tcW w:w="4515" w:type="dxa"/>
            <w:tcBorders>
              <w:top w:val="single" w:sz="4" w:space="0" w:color="000000"/>
              <w:left w:val="nil"/>
              <w:bottom w:val="single" w:sz="4" w:space="0" w:color="000000"/>
              <w:right w:val="single" w:sz="4" w:space="0" w:color="000000"/>
            </w:tcBorders>
            <w:vAlign w:val="center"/>
          </w:tcPr>
          <w:p w14:paraId="49C553E3" w14:textId="77777777" w:rsidR="005714A1" w:rsidRDefault="005714A1" w:rsidP="00D86880">
            <w:pPr>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b/>
                <w:sz w:val="18"/>
                <w:szCs w:val="18"/>
              </w:rPr>
              <w:t>Authors</w:t>
            </w:r>
          </w:p>
        </w:tc>
        <w:tc>
          <w:tcPr>
            <w:tcW w:w="645" w:type="dxa"/>
            <w:tcBorders>
              <w:top w:val="single" w:sz="4" w:space="0" w:color="000000"/>
              <w:left w:val="nil"/>
              <w:bottom w:val="single" w:sz="4" w:space="0" w:color="000000"/>
              <w:right w:val="single" w:sz="4" w:space="0" w:color="000000"/>
            </w:tcBorders>
            <w:vAlign w:val="center"/>
          </w:tcPr>
          <w:p w14:paraId="32300E5F" w14:textId="77777777" w:rsidR="005714A1" w:rsidRDefault="005714A1" w:rsidP="00D86880">
            <w:pPr>
              <w:spacing w:line="480" w:lineRule="auto"/>
              <w:rPr>
                <w:rFonts w:ascii="Times New Roman" w:eastAsia="Times New Roman" w:hAnsi="Times New Roman" w:cs="Times New Roman"/>
                <w:color w:val="70AD47"/>
                <w:sz w:val="60"/>
                <w:szCs w:val="60"/>
              </w:rPr>
            </w:pPr>
            <w:r>
              <w:rPr>
                <w:rFonts w:ascii="Times New Roman" w:eastAsia="Times New Roman" w:hAnsi="Times New Roman" w:cs="Times New Roman"/>
                <w:b/>
                <w:sz w:val="16"/>
                <w:szCs w:val="16"/>
              </w:rPr>
              <w:t>Item 1</w:t>
            </w:r>
          </w:p>
        </w:tc>
        <w:tc>
          <w:tcPr>
            <w:tcW w:w="630" w:type="dxa"/>
            <w:tcBorders>
              <w:top w:val="single" w:sz="4" w:space="0" w:color="000000"/>
              <w:left w:val="nil"/>
              <w:bottom w:val="single" w:sz="4" w:space="0" w:color="000000"/>
              <w:right w:val="single" w:sz="4" w:space="0" w:color="000000"/>
            </w:tcBorders>
            <w:vAlign w:val="center"/>
          </w:tcPr>
          <w:p w14:paraId="78A4235B" w14:textId="77777777" w:rsidR="005714A1" w:rsidRDefault="005714A1" w:rsidP="00D86880">
            <w:pPr>
              <w:spacing w:line="480" w:lineRule="auto"/>
              <w:rPr>
                <w:rFonts w:ascii="Times New Roman" w:eastAsia="Times New Roman" w:hAnsi="Times New Roman" w:cs="Times New Roman"/>
                <w:color w:val="70AD47"/>
                <w:sz w:val="60"/>
                <w:szCs w:val="60"/>
              </w:rPr>
            </w:pPr>
            <w:r>
              <w:rPr>
                <w:rFonts w:ascii="Times New Roman" w:eastAsia="Times New Roman" w:hAnsi="Times New Roman" w:cs="Times New Roman"/>
                <w:b/>
                <w:sz w:val="16"/>
                <w:szCs w:val="16"/>
              </w:rPr>
              <w:t>Item 2</w:t>
            </w:r>
          </w:p>
        </w:tc>
        <w:tc>
          <w:tcPr>
            <w:tcW w:w="645" w:type="dxa"/>
            <w:tcBorders>
              <w:top w:val="single" w:sz="4" w:space="0" w:color="000000"/>
              <w:left w:val="nil"/>
              <w:bottom w:val="single" w:sz="4" w:space="0" w:color="000000"/>
              <w:right w:val="single" w:sz="4" w:space="0" w:color="000000"/>
            </w:tcBorders>
            <w:vAlign w:val="center"/>
          </w:tcPr>
          <w:p w14:paraId="4BED59E3" w14:textId="77777777" w:rsidR="005714A1" w:rsidRDefault="005714A1" w:rsidP="00D86880">
            <w:pPr>
              <w:spacing w:line="480" w:lineRule="auto"/>
              <w:rPr>
                <w:rFonts w:ascii="Times New Roman" w:eastAsia="Times New Roman" w:hAnsi="Times New Roman" w:cs="Times New Roman"/>
                <w:color w:val="70AD47"/>
                <w:sz w:val="60"/>
                <w:szCs w:val="60"/>
              </w:rPr>
            </w:pPr>
            <w:r>
              <w:rPr>
                <w:rFonts w:ascii="Times New Roman" w:eastAsia="Times New Roman" w:hAnsi="Times New Roman" w:cs="Times New Roman"/>
                <w:b/>
                <w:sz w:val="16"/>
                <w:szCs w:val="16"/>
              </w:rPr>
              <w:t>Item 3</w:t>
            </w:r>
          </w:p>
        </w:tc>
        <w:tc>
          <w:tcPr>
            <w:tcW w:w="630" w:type="dxa"/>
            <w:tcBorders>
              <w:top w:val="single" w:sz="4" w:space="0" w:color="000000"/>
              <w:left w:val="nil"/>
              <w:bottom w:val="single" w:sz="4" w:space="0" w:color="000000"/>
              <w:right w:val="single" w:sz="4" w:space="0" w:color="000000"/>
            </w:tcBorders>
            <w:vAlign w:val="center"/>
          </w:tcPr>
          <w:p w14:paraId="6B9E2ECE" w14:textId="77777777" w:rsidR="005714A1" w:rsidRDefault="005714A1" w:rsidP="00D86880">
            <w:pPr>
              <w:spacing w:line="480" w:lineRule="auto"/>
              <w:rPr>
                <w:rFonts w:ascii="Times New Roman" w:eastAsia="Times New Roman" w:hAnsi="Times New Roman" w:cs="Times New Roman"/>
                <w:color w:val="70AD47"/>
                <w:sz w:val="60"/>
                <w:szCs w:val="60"/>
              </w:rPr>
            </w:pPr>
            <w:r>
              <w:rPr>
                <w:rFonts w:ascii="Times New Roman" w:eastAsia="Times New Roman" w:hAnsi="Times New Roman" w:cs="Times New Roman"/>
                <w:b/>
                <w:sz w:val="16"/>
                <w:szCs w:val="16"/>
              </w:rPr>
              <w:t>Item 4</w:t>
            </w:r>
          </w:p>
        </w:tc>
        <w:tc>
          <w:tcPr>
            <w:tcW w:w="615" w:type="dxa"/>
            <w:tcBorders>
              <w:top w:val="single" w:sz="4" w:space="0" w:color="000000"/>
              <w:left w:val="nil"/>
              <w:bottom w:val="single" w:sz="4" w:space="0" w:color="000000"/>
              <w:right w:val="single" w:sz="4" w:space="0" w:color="000000"/>
            </w:tcBorders>
            <w:vAlign w:val="center"/>
          </w:tcPr>
          <w:p w14:paraId="2E7690C5" w14:textId="77777777" w:rsidR="005714A1" w:rsidRDefault="005714A1" w:rsidP="00D86880">
            <w:pPr>
              <w:spacing w:line="480" w:lineRule="auto"/>
              <w:rPr>
                <w:rFonts w:ascii="Times New Roman" w:eastAsia="Times New Roman" w:hAnsi="Times New Roman" w:cs="Times New Roman"/>
                <w:color w:val="FF0000"/>
                <w:sz w:val="60"/>
                <w:szCs w:val="60"/>
              </w:rPr>
            </w:pPr>
            <w:r>
              <w:rPr>
                <w:rFonts w:ascii="Times New Roman" w:eastAsia="Times New Roman" w:hAnsi="Times New Roman" w:cs="Times New Roman"/>
                <w:b/>
                <w:sz w:val="16"/>
                <w:szCs w:val="16"/>
              </w:rPr>
              <w:t>Item 5</w:t>
            </w:r>
          </w:p>
        </w:tc>
        <w:tc>
          <w:tcPr>
            <w:tcW w:w="600" w:type="dxa"/>
            <w:tcBorders>
              <w:top w:val="single" w:sz="4" w:space="0" w:color="000000"/>
              <w:left w:val="nil"/>
              <w:bottom w:val="single" w:sz="4" w:space="0" w:color="000000"/>
              <w:right w:val="single" w:sz="4" w:space="0" w:color="000000"/>
            </w:tcBorders>
            <w:vAlign w:val="center"/>
          </w:tcPr>
          <w:p w14:paraId="159C99D4" w14:textId="77777777" w:rsidR="005714A1" w:rsidRDefault="005714A1" w:rsidP="00D86880">
            <w:pPr>
              <w:spacing w:line="480" w:lineRule="auto"/>
              <w:rPr>
                <w:rFonts w:ascii="Times New Roman" w:eastAsia="Times New Roman" w:hAnsi="Times New Roman" w:cs="Times New Roman"/>
                <w:color w:val="FF0000"/>
                <w:sz w:val="60"/>
                <w:szCs w:val="60"/>
              </w:rPr>
            </w:pPr>
            <w:r>
              <w:rPr>
                <w:rFonts w:ascii="Times New Roman" w:eastAsia="Times New Roman" w:hAnsi="Times New Roman" w:cs="Times New Roman"/>
                <w:b/>
                <w:sz w:val="16"/>
                <w:szCs w:val="16"/>
              </w:rPr>
              <w:t>Item 6</w:t>
            </w:r>
          </w:p>
        </w:tc>
        <w:tc>
          <w:tcPr>
            <w:tcW w:w="600" w:type="dxa"/>
            <w:tcBorders>
              <w:top w:val="single" w:sz="4" w:space="0" w:color="000000"/>
              <w:left w:val="nil"/>
              <w:bottom w:val="single" w:sz="4" w:space="0" w:color="000000"/>
              <w:right w:val="single" w:sz="4" w:space="0" w:color="000000"/>
            </w:tcBorders>
            <w:vAlign w:val="center"/>
          </w:tcPr>
          <w:p w14:paraId="33C61FB3" w14:textId="77777777" w:rsidR="005714A1" w:rsidRDefault="005714A1" w:rsidP="00D86880">
            <w:pPr>
              <w:spacing w:line="480" w:lineRule="auto"/>
              <w:rPr>
                <w:rFonts w:ascii="Times New Roman" w:eastAsia="Times New Roman" w:hAnsi="Times New Roman" w:cs="Times New Roman"/>
                <w:color w:val="70AD47"/>
                <w:sz w:val="60"/>
                <w:szCs w:val="60"/>
              </w:rPr>
            </w:pPr>
            <w:r>
              <w:rPr>
                <w:rFonts w:ascii="Times New Roman" w:eastAsia="Times New Roman" w:hAnsi="Times New Roman" w:cs="Times New Roman"/>
                <w:b/>
                <w:sz w:val="16"/>
                <w:szCs w:val="16"/>
              </w:rPr>
              <w:t>Item 7</w:t>
            </w:r>
          </w:p>
        </w:tc>
        <w:tc>
          <w:tcPr>
            <w:tcW w:w="600" w:type="dxa"/>
            <w:tcBorders>
              <w:top w:val="single" w:sz="4" w:space="0" w:color="000000"/>
              <w:left w:val="nil"/>
              <w:bottom w:val="single" w:sz="4" w:space="0" w:color="000000"/>
              <w:right w:val="single" w:sz="4" w:space="0" w:color="000000"/>
            </w:tcBorders>
            <w:vAlign w:val="center"/>
          </w:tcPr>
          <w:p w14:paraId="52BAED05" w14:textId="77777777" w:rsidR="005714A1" w:rsidRDefault="005714A1" w:rsidP="00D86880">
            <w:pPr>
              <w:spacing w:line="480" w:lineRule="auto"/>
              <w:rPr>
                <w:rFonts w:ascii="Times New Roman" w:eastAsia="Times New Roman" w:hAnsi="Times New Roman" w:cs="Times New Roman"/>
                <w:color w:val="70AD47"/>
                <w:sz w:val="60"/>
                <w:szCs w:val="60"/>
              </w:rPr>
            </w:pPr>
            <w:r>
              <w:rPr>
                <w:rFonts w:ascii="Times New Roman" w:eastAsia="Times New Roman" w:hAnsi="Times New Roman" w:cs="Times New Roman"/>
                <w:b/>
                <w:sz w:val="16"/>
                <w:szCs w:val="16"/>
              </w:rPr>
              <w:t>Item 8</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6823AE3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b/>
                <w:sz w:val="16"/>
                <w:szCs w:val="16"/>
              </w:rPr>
              <w:t>Item 9</w:t>
            </w: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BE0105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b/>
                <w:sz w:val="16"/>
                <w:szCs w:val="16"/>
              </w:rPr>
              <w:t>Item 10</w:t>
            </w: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1DDF733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b/>
                <w:sz w:val="16"/>
                <w:szCs w:val="16"/>
              </w:rPr>
              <w:t>Item 11</w:t>
            </w:r>
          </w:p>
        </w:tc>
        <w:tc>
          <w:tcPr>
            <w:tcW w:w="765" w:type="dxa"/>
            <w:tcBorders>
              <w:top w:val="single" w:sz="4" w:space="0" w:color="000000"/>
              <w:left w:val="single" w:sz="4" w:space="0" w:color="000000"/>
              <w:bottom w:val="single" w:sz="4" w:space="0" w:color="000000"/>
              <w:right w:val="single" w:sz="4" w:space="0" w:color="000000"/>
            </w:tcBorders>
            <w:vAlign w:val="center"/>
          </w:tcPr>
          <w:p w14:paraId="20547CE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b/>
                <w:sz w:val="16"/>
                <w:szCs w:val="16"/>
              </w:rPr>
              <w:t>Risk of Bias</w:t>
            </w:r>
          </w:p>
        </w:tc>
      </w:tr>
      <w:tr w:rsidR="005714A1" w14:paraId="1EA71DFA"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643A4F0E" w14:textId="77777777" w:rsidR="005714A1" w:rsidRDefault="005714A1" w:rsidP="00D86880">
            <w:pPr>
              <w:spacing w:line="48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Cross-sectional study</w:t>
            </w:r>
          </w:p>
        </w:tc>
        <w:tc>
          <w:tcPr>
            <w:tcW w:w="4515" w:type="dxa"/>
            <w:tcBorders>
              <w:top w:val="single" w:sz="4" w:space="0" w:color="000000"/>
              <w:left w:val="nil"/>
              <w:bottom w:val="single" w:sz="4" w:space="0" w:color="000000"/>
              <w:right w:val="single" w:sz="4" w:space="0" w:color="000000"/>
            </w:tcBorders>
            <w:vAlign w:val="center"/>
          </w:tcPr>
          <w:p w14:paraId="2BF7B18A"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Gasior, A. C., Bergus, K. C., Beeler, W. H., Xi, A. S., &amp; Rialon, K. L. (2024)</w:t>
            </w:r>
          </w:p>
        </w:tc>
        <w:tc>
          <w:tcPr>
            <w:tcW w:w="645" w:type="dxa"/>
            <w:tcBorders>
              <w:top w:val="single" w:sz="4" w:space="0" w:color="000000"/>
              <w:left w:val="nil"/>
              <w:bottom w:val="single" w:sz="4" w:space="0" w:color="000000"/>
              <w:right w:val="single" w:sz="4" w:space="0" w:color="000000"/>
            </w:tcBorders>
            <w:vAlign w:val="center"/>
          </w:tcPr>
          <w:p w14:paraId="5862D2B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623AEA0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093030A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18C786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397B1FEA"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4384245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3F729FE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B6E392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3E92DF16"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238533FF"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482891C8"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576D7ED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103E39D"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0C35B194"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02EA1F42" w14:textId="77777777" w:rsidR="005714A1" w:rsidRDefault="005714A1" w:rsidP="00D86880">
            <w:pPr>
              <w:widowControl w:val="0"/>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sz w:val="18"/>
                <w:szCs w:val="18"/>
              </w:rPr>
              <w:t>Erlandsson, A., Bygren, M., &amp; Gähler, M.(2024)</w:t>
            </w:r>
          </w:p>
        </w:tc>
        <w:tc>
          <w:tcPr>
            <w:tcW w:w="645" w:type="dxa"/>
            <w:tcBorders>
              <w:top w:val="single" w:sz="4" w:space="0" w:color="000000"/>
              <w:left w:val="nil"/>
              <w:bottom w:val="single" w:sz="4" w:space="0" w:color="000000"/>
              <w:right w:val="single" w:sz="4" w:space="0" w:color="000000"/>
            </w:tcBorders>
            <w:vAlign w:val="center"/>
          </w:tcPr>
          <w:p w14:paraId="6ABDEC0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1315E76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4A5C014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46A937D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64CF038C"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74C7FBA8"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370E482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39F2DE3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35434928"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715A5C52"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329498FF"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09BE34FF"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F1F3AAB"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6D3FFB1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4A908143"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Hassard, J., Wang, W., Delic, L. et al. (2023)</w:t>
            </w:r>
          </w:p>
        </w:tc>
        <w:tc>
          <w:tcPr>
            <w:tcW w:w="645" w:type="dxa"/>
            <w:tcBorders>
              <w:top w:val="single" w:sz="4" w:space="0" w:color="000000"/>
              <w:left w:val="nil"/>
              <w:bottom w:val="single" w:sz="4" w:space="0" w:color="000000"/>
              <w:right w:val="single" w:sz="4" w:space="0" w:color="000000"/>
            </w:tcBorders>
            <w:vAlign w:val="center"/>
          </w:tcPr>
          <w:p w14:paraId="24BBD45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54CEB24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189A140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69FE256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55EDE5B7"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2927CA4"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68C46D4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52A1247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0B01DE9A"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61C571D7"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6EAD324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056E9A39"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D034AA2"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6C1ABAA3"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5876FD9E"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Cook, A., &amp; van den Hoek, R. (2023)</w:t>
            </w:r>
          </w:p>
        </w:tc>
        <w:tc>
          <w:tcPr>
            <w:tcW w:w="645" w:type="dxa"/>
            <w:tcBorders>
              <w:top w:val="single" w:sz="4" w:space="0" w:color="000000"/>
              <w:left w:val="nil"/>
              <w:bottom w:val="single" w:sz="4" w:space="0" w:color="000000"/>
              <w:right w:val="single" w:sz="4" w:space="0" w:color="000000"/>
            </w:tcBorders>
            <w:vAlign w:val="center"/>
          </w:tcPr>
          <w:p w14:paraId="67EC80B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7713096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305BB5B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4957017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29E0708D"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24A92C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1EE006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4291A7D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68E19137"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08CD335"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258F6522"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09278AC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4B3D0E4"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125302FE"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15A69175"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Steiner-Hofbauer, V., Katz, H. W., Grundnig, J. S. et al. (2023)</w:t>
            </w:r>
          </w:p>
        </w:tc>
        <w:tc>
          <w:tcPr>
            <w:tcW w:w="645" w:type="dxa"/>
            <w:tcBorders>
              <w:top w:val="single" w:sz="4" w:space="0" w:color="000000"/>
              <w:left w:val="nil"/>
              <w:bottom w:val="single" w:sz="4" w:space="0" w:color="000000"/>
              <w:right w:val="single" w:sz="4" w:space="0" w:color="000000"/>
            </w:tcBorders>
            <w:vAlign w:val="center"/>
          </w:tcPr>
          <w:p w14:paraId="3226FE6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30" w:type="dxa"/>
            <w:tcBorders>
              <w:top w:val="single" w:sz="4" w:space="0" w:color="000000"/>
              <w:left w:val="nil"/>
              <w:bottom w:val="single" w:sz="4" w:space="0" w:color="000000"/>
              <w:right w:val="single" w:sz="4" w:space="0" w:color="000000"/>
            </w:tcBorders>
            <w:vAlign w:val="center"/>
          </w:tcPr>
          <w:p w14:paraId="1CFAD1D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5D5215A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31167A7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single" w:sz="4" w:space="0" w:color="000000"/>
              <w:left w:val="nil"/>
              <w:bottom w:val="single" w:sz="4" w:space="0" w:color="000000"/>
              <w:right w:val="single" w:sz="4" w:space="0" w:color="000000"/>
            </w:tcBorders>
            <w:vAlign w:val="center"/>
          </w:tcPr>
          <w:p w14:paraId="46661C26"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5652B89E"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3E8164E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0509EF0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6922CC75"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770A8F33"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6B248A8A"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73E3C970"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Moderate</w:t>
            </w:r>
          </w:p>
        </w:tc>
      </w:tr>
      <w:tr w:rsidR="005714A1" w14:paraId="0B0F20C3"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01617068"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1221F464"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Wang, P., &amp; Chen, J. (2023)</w:t>
            </w:r>
          </w:p>
        </w:tc>
        <w:tc>
          <w:tcPr>
            <w:tcW w:w="645" w:type="dxa"/>
            <w:tcBorders>
              <w:top w:val="single" w:sz="4" w:space="0" w:color="000000"/>
              <w:left w:val="nil"/>
              <w:bottom w:val="single" w:sz="4" w:space="0" w:color="000000"/>
              <w:right w:val="single" w:sz="4" w:space="0" w:color="000000"/>
            </w:tcBorders>
            <w:vAlign w:val="center"/>
          </w:tcPr>
          <w:p w14:paraId="3BA9530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69E4244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705188D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02FABAE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67E0147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1A7D109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4AF1492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590BCD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3CA8F26C"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868F82B"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2E0568C8"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20918E5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3DFB89E"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5E689B4D"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6E1AB73B"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Ponzo S. , Wickham A., Bamford R., Radovic T., Zhaunova L., Peven K., Klepchukova A. &amp; Payne L. (2022)</w:t>
            </w:r>
          </w:p>
        </w:tc>
        <w:tc>
          <w:tcPr>
            <w:tcW w:w="645" w:type="dxa"/>
            <w:tcBorders>
              <w:top w:val="single" w:sz="4" w:space="0" w:color="000000"/>
              <w:left w:val="nil"/>
              <w:bottom w:val="single" w:sz="4" w:space="0" w:color="000000"/>
              <w:right w:val="single" w:sz="4" w:space="0" w:color="000000"/>
            </w:tcBorders>
            <w:vAlign w:val="center"/>
          </w:tcPr>
          <w:p w14:paraId="11F43F9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6238E9C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3C6E957F"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796A072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73A1FB3F"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8309F31"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6C57E5A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0312231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69D9FBA8"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6A9839FE"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6CF5AD92"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2810B440"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A4CCE10"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58BA562C"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7F88A87A"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Peterson Gloor, J. L., Okimoto, T. G., &amp; King, E. B. (2022)</w:t>
            </w:r>
          </w:p>
        </w:tc>
        <w:tc>
          <w:tcPr>
            <w:tcW w:w="645" w:type="dxa"/>
            <w:tcBorders>
              <w:top w:val="single" w:sz="4" w:space="0" w:color="000000"/>
              <w:left w:val="nil"/>
              <w:bottom w:val="single" w:sz="4" w:space="0" w:color="000000"/>
              <w:right w:val="single" w:sz="4" w:space="0" w:color="000000"/>
            </w:tcBorders>
            <w:vAlign w:val="center"/>
          </w:tcPr>
          <w:p w14:paraId="38B4500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786DD74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28E7CED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5FF74CF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2D4FD242"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6A41E87E"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7D8124A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5E6816A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5A3AB600"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1964FEF6"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5295D87E"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599F2B4B"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1951B44"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7F8A124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6EEC1F2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Hackney, K. J., Daniels, S. R., Paustian-Underdahl, S. C., Perrewé, P. L., Mandeville, A., &amp; Eaton, A. A. (2021)</w:t>
            </w:r>
          </w:p>
        </w:tc>
        <w:tc>
          <w:tcPr>
            <w:tcW w:w="645" w:type="dxa"/>
            <w:tcBorders>
              <w:top w:val="single" w:sz="4" w:space="0" w:color="000000"/>
              <w:left w:val="nil"/>
              <w:bottom w:val="single" w:sz="4" w:space="0" w:color="000000"/>
              <w:right w:val="single" w:sz="4" w:space="0" w:color="000000"/>
            </w:tcBorders>
            <w:vAlign w:val="center"/>
          </w:tcPr>
          <w:p w14:paraId="73743AF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4D07E6A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43299B4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2E367BC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7B37A010"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004820C"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67FDC02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0CC08D8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520332B6"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5FBD5DD0"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7EC4CB67"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5EBC1C43"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4834264"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0043F33F"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49D76EF5" w14:textId="77777777" w:rsidR="005714A1" w:rsidRDefault="005714A1" w:rsidP="00D86880">
            <w:pPr>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color w:val="222222"/>
                <w:sz w:val="18"/>
                <w:szCs w:val="18"/>
                <w:highlight w:val="white"/>
              </w:rPr>
              <w:t>Wada, A., Nakamura, Y., Tsuno, Y. S., Nagasaka, K., Kawajiri, M., Takeishi, Y., Mikako, Y.. &amp; Yoshizawa, T. (2021)</w:t>
            </w:r>
          </w:p>
        </w:tc>
        <w:tc>
          <w:tcPr>
            <w:tcW w:w="645" w:type="dxa"/>
            <w:tcBorders>
              <w:top w:val="single" w:sz="4" w:space="0" w:color="000000"/>
              <w:left w:val="nil"/>
              <w:bottom w:val="single" w:sz="4" w:space="0" w:color="000000"/>
              <w:right w:val="single" w:sz="4" w:space="0" w:color="000000"/>
            </w:tcBorders>
            <w:vAlign w:val="center"/>
          </w:tcPr>
          <w:p w14:paraId="68C89A4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72D26B0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0D60ED5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5A7D2D5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0F41588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58EEA29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55E0496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186BF5D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00C40125"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7A6CA475"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34EE094D"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2AE7AA76"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6CE5F98"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0A96C1C9"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5494EC1F"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Kraus, M. B., Thomson, H. M., Dexter, F., Patel, P. V., Dodd, S. E., Girardo, M. E., Hertzberg, L. B., Pearson, A. C. S. (2021)</w:t>
            </w:r>
          </w:p>
        </w:tc>
        <w:tc>
          <w:tcPr>
            <w:tcW w:w="645" w:type="dxa"/>
            <w:tcBorders>
              <w:top w:val="single" w:sz="4" w:space="0" w:color="000000"/>
              <w:left w:val="nil"/>
              <w:bottom w:val="single" w:sz="4" w:space="0" w:color="000000"/>
              <w:right w:val="single" w:sz="4" w:space="0" w:color="000000"/>
            </w:tcBorders>
            <w:vAlign w:val="center"/>
          </w:tcPr>
          <w:p w14:paraId="703352A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7BF5BD8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1D7407F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076212D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587A0EA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5D913E96"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81AEE7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C3BFDC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1482FF34"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00852DCF"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103B0F5B"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44C8CF88"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51F7E48"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163641CF"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3A8751C8"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Hardy, C., &amp; Hunter, M. S. (2021)</w:t>
            </w:r>
          </w:p>
        </w:tc>
        <w:tc>
          <w:tcPr>
            <w:tcW w:w="645" w:type="dxa"/>
            <w:tcBorders>
              <w:top w:val="single" w:sz="4" w:space="0" w:color="000000"/>
              <w:left w:val="nil"/>
              <w:bottom w:val="single" w:sz="4" w:space="0" w:color="000000"/>
              <w:right w:val="single" w:sz="4" w:space="0" w:color="000000"/>
            </w:tcBorders>
            <w:vAlign w:val="center"/>
          </w:tcPr>
          <w:p w14:paraId="7459263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1B1D086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43D7C58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single" w:sz="4" w:space="0" w:color="000000"/>
              <w:left w:val="nil"/>
              <w:bottom w:val="single" w:sz="4" w:space="0" w:color="000000"/>
              <w:right w:val="single" w:sz="4" w:space="0" w:color="000000"/>
            </w:tcBorders>
            <w:vAlign w:val="center"/>
          </w:tcPr>
          <w:p w14:paraId="47C0FC9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51A824E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3A9D3E5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3D6C4EF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7F1E33A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44B01995"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2D23E79"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46B37D8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6EE36826"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596F2871"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443C490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4" w:space="0" w:color="000000"/>
              <w:left w:val="nil"/>
              <w:bottom w:val="single" w:sz="4" w:space="0" w:color="000000"/>
              <w:right w:val="single" w:sz="4" w:space="0" w:color="000000"/>
            </w:tcBorders>
            <w:vAlign w:val="center"/>
          </w:tcPr>
          <w:p w14:paraId="57CA6636"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Zaman, R. T., Mohiuddin, M. F, Zaman, Raisa Tasneem, Mohiuddin, Md Fazla</w:t>
            </w:r>
          </w:p>
        </w:tc>
        <w:tc>
          <w:tcPr>
            <w:tcW w:w="645" w:type="dxa"/>
            <w:tcBorders>
              <w:top w:val="single" w:sz="4" w:space="0" w:color="000000"/>
              <w:left w:val="nil"/>
              <w:bottom w:val="single" w:sz="4" w:space="0" w:color="000000"/>
              <w:right w:val="single" w:sz="4" w:space="0" w:color="000000"/>
            </w:tcBorders>
            <w:vAlign w:val="center"/>
          </w:tcPr>
          <w:p w14:paraId="0AC0093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single" w:sz="4" w:space="0" w:color="000000"/>
              <w:left w:val="nil"/>
              <w:bottom w:val="single" w:sz="4" w:space="0" w:color="000000"/>
              <w:right w:val="single" w:sz="4" w:space="0" w:color="000000"/>
            </w:tcBorders>
            <w:vAlign w:val="center"/>
          </w:tcPr>
          <w:p w14:paraId="042DAC5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single" w:sz="4" w:space="0" w:color="000000"/>
              <w:left w:val="nil"/>
              <w:bottom w:val="single" w:sz="4" w:space="0" w:color="000000"/>
              <w:right w:val="single" w:sz="4" w:space="0" w:color="000000"/>
            </w:tcBorders>
            <w:vAlign w:val="center"/>
          </w:tcPr>
          <w:p w14:paraId="673A468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single" w:sz="4" w:space="0" w:color="000000"/>
              <w:left w:val="nil"/>
              <w:bottom w:val="single" w:sz="4" w:space="0" w:color="000000"/>
              <w:right w:val="single" w:sz="4" w:space="0" w:color="000000"/>
            </w:tcBorders>
            <w:vAlign w:val="center"/>
          </w:tcPr>
          <w:p w14:paraId="41B05B3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single" w:sz="4" w:space="0" w:color="000000"/>
              <w:left w:val="nil"/>
              <w:bottom w:val="single" w:sz="4" w:space="0" w:color="000000"/>
              <w:right w:val="single" w:sz="4" w:space="0" w:color="000000"/>
            </w:tcBorders>
            <w:vAlign w:val="center"/>
          </w:tcPr>
          <w:p w14:paraId="25A94E3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6B295A2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C749EC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10FB0D1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0A31B699"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036C880"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40B6A3D4"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39B7C0E0"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High</w:t>
            </w:r>
          </w:p>
        </w:tc>
      </w:tr>
      <w:tr w:rsidR="005714A1" w14:paraId="56D9347D"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186F5371"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E0C81B"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Beck, V., Brewis, J.  &amp; Davies, A. (2020)</w:t>
            </w:r>
          </w:p>
        </w:tc>
        <w:tc>
          <w:tcPr>
            <w:tcW w:w="645" w:type="dxa"/>
            <w:tcBorders>
              <w:top w:val="single" w:sz="4" w:space="0" w:color="000000"/>
              <w:left w:val="nil"/>
              <w:bottom w:val="single" w:sz="4" w:space="0" w:color="000000"/>
              <w:right w:val="single" w:sz="4" w:space="0" w:color="000000"/>
            </w:tcBorders>
            <w:vAlign w:val="center"/>
          </w:tcPr>
          <w:p w14:paraId="2769742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single" w:sz="4" w:space="0" w:color="000000"/>
              <w:left w:val="nil"/>
              <w:bottom w:val="single" w:sz="4" w:space="0" w:color="000000"/>
              <w:right w:val="single" w:sz="4" w:space="0" w:color="000000"/>
            </w:tcBorders>
            <w:vAlign w:val="center"/>
          </w:tcPr>
          <w:p w14:paraId="139A96F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45" w:type="dxa"/>
            <w:tcBorders>
              <w:top w:val="single" w:sz="4" w:space="0" w:color="000000"/>
              <w:left w:val="nil"/>
              <w:bottom w:val="single" w:sz="4" w:space="0" w:color="000000"/>
              <w:right w:val="single" w:sz="4" w:space="0" w:color="000000"/>
            </w:tcBorders>
            <w:vAlign w:val="center"/>
          </w:tcPr>
          <w:p w14:paraId="2C9DC664"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30" w:type="dxa"/>
            <w:tcBorders>
              <w:top w:val="single" w:sz="4" w:space="0" w:color="000000"/>
              <w:left w:val="nil"/>
              <w:bottom w:val="single" w:sz="4" w:space="0" w:color="000000"/>
              <w:right w:val="single" w:sz="4" w:space="0" w:color="000000"/>
            </w:tcBorders>
            <w:vAlign w:val="center"/>
          </w:tcPr>
          <w:p w14:paraId="3BD0A33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4E11B032"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17A151BF"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single" w:sz="4" w:space="0" w:color="000000"/>
              <w:left w:val="nil"/>
              <w:bottom w:val="single" w:sz="4" w:space="0" w:color="000000"/>
              <w:right w:val="single" w:sz="4" w:space="0" w:color="000000"/>
            </w:tcBorders>
            <w:vAlign w:val="center"/>
          </w:tcPr>
          <w:p w14:paraId="22C9CF3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single" w:sz="4" w:space="0" w:color="000000"/>
              <w:left w:val="nil"/>
              <w:bottom w:val="single" w:sz="4" w:space="0" w:color="000000"/>
              <w:right w:val="single" w:sz="4" w:space="0" w:color="000000"/>
            </w:tcBorders>
            <w:vAlign w:val="center"/>
          </w:tcPr>
          <w:p w14:paraId="331F987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5E2825FA"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4545DC7C"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242853C5"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3A22746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High</w:t>
            </w:r>
          </w:p>
        </w:tc>
      </w:tr>
      <w:tr w:rsidR="005714A1" w14:paraId="40C795D5"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65BF96C5"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07EAF9"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Gabriel, A. S., Volpone, S. D., MacGowan, R. L., Butts, M. M., &amp; Moran, C. M. (2020)</w:t>
            </w:r>
          </w:p>
        </w:tc>
        <w:tc>
          <w:tcPr>
            <w:tcW w:w="645" w:type="dxa"/>
            <w:tcBorders>
              <w:top w:val="nil"/>
              <w:left w:val="nil"/>
              <w:bottom w:val="single" w:sz="4" w:space="0" w:color="000000"/>
              <w:right w:val="single" w:sz="4" w:space="0" w:color="000000"/>
            </w:tcBorders>
            <w:vAlign w:val="center"/>
          </w:tcPr>
          <w:p w14:paraId="04CDF90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CD809B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6FA9A5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6FF4AD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AE67757"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067D13A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0767DFB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6FE0E2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4B70C6A1"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4080E2A2"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2B833A05"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64558B2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BD8040D"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43CBD73B"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0CDDE1"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Frodermann, C., &amp; Müller, D. (2019)</w:t>
            </w:r>
          </w:p>
        </w:tc>
        <w:tc>
          <w:tcPr>
            <w:tcW w:w="645" w:type="dxa"/>
            <w:tcBorders>
              <w:top w:val="nil"/>
              <w:left w:val="nil"/>
              <w:bottom w:val="single" w:sz="4" w:space="0" w:color="000000"/>
              <w:right w:val="single" w:sz="4" w:space="0" w:color="000000"/>
            </w:tcBorders>
            <w:vAlign w:val="center"/>
          </w:tcPr>
          <w:p w14:paraId="4EA8ECB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18DD23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8C6687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EA35B73"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0BF8351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C19F6B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B19D2B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8B6B92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24EB2B13"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6CE03A10"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7120608F"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02254BC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06427E2"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592057DE"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D7B4D7"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Kim, J. H., Oh, S. S., Bae, S. W. et al. (2019)</w:t>
            </w:r>
          </w:p>
        </w:tc>
        <w:tc>
          <w:tcPr>
            <w:tcW w:w="645" w:type="dxa"/>
            <w:tcBorders>
              <w:top w:val="nil"/>
              <w:left w:val="nil"/>
              <w:bottom w:val="single" w:sz="4" w:space="0" w:color="000000"/>
              <w:right w:val="single" w:sz="4" w:space="0" w:color="000000"/>
            </w:tcBorders>
            <w:vAlign w:val="center"/>
          </w:tcPr>
          <w:p w14:paraId="16418A1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B5BD3C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CD9167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F3FE00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0082054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710FFC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232769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4FBCA9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2A97FB9B"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239C3BF5"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3BB4E6E4"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260A9E3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EF23504"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1D5AA74D"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D0F02B"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Zhuang, J., Bresnahan, M. J., Yan, X., Zhu, Y., Goldbort, J., &amp; Bogdan-Lovis, E. (2019)</w:t>
            </w:r>
          </w:p>
        </w:tc>
        <w:tc>
          <w:tcPr>
            <w:tcW w:w="645" w:type="dxa"/>
            <w:tcBorders>
              <w:top w:val="nil"/>
              <w:left w:val="nil"/>
              <w:bottom w:val="single" w:sz="4" w:space="0" w:color="000000"/>
              <w:right w:val="single" w:sz="4" w:space="0" w:color="000000"/>
            </w:tcBorders>
            <w:vAlign w:val="center"/>
          </w:tcPr>
          <w:p w14:paraId="1F9A768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30" w:type="dxa"/>
            <w:tcBorders>
              <w:top w:val="nil"/>
              <w:left w:val="nil"/>
              <w:bottom w:val="single" w:sz="4" w:space="0" w:color="000000"/>
              <w:right w:val="single" w:sz="4" w:space="0" w:color="000000"/>
            </w:tcBorders>
            <w:vAlign w:val="center"/>
          </w:tcPr>
          <w:p w14:paraId="03C1781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45" w:type="dxa"/>
            <w:tcBorders>
              <w:top w:val="nil"/>
              <w:left w:val="nil"/>
              <w:bottom w:val="single" w:sz="4" w:space="0" w:color="000000"/>
              <w:right w:val="single" w:sz="4" w:space="0" w:color="000000"/>
            </w:tcBorders>
            <w:vAlign w:val="center"/>
          </w:tcPr>
          <w:p w14:paraId="30284DB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153B2786"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 xml:space="preserve">· </w:t>
            </w:r>
          </w:p>
        </w:tc>
        <w:tc>
          <w:tcPr>
            <w:tcW w:w="615" w:type="dxa"/>
            <w:tcBorders>
              <w:top w:val="nil"/>
              <w:left w:val="nil"/>
              <w:bottom w:val="single" w:sz="4" w:space="0" w:color="000000"/>
              <w:right w:val="single" w:sz="4" w:space="0" w:color="000000"/>
            </w:tcBorders>
            <w:vAlign w:val="center"/>
          </w:tcPr>
          <w:p w14:paraId="19680DA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7E1A96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72D6C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4AB232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1470BAFB"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43C1F5EA"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0303FDD5"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4B2D967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High</w:t>
            </w:r>
          </w:p>
        </w:tc>
      </w:tr>
      <w:tr w:rsidR="005714A1" w14:paraId="6E4DF109"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1CE8A682"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488AB7" w14:textId="77777777" w:rsidR="005714A1" w:rsidRDefault="005714A1" w:rsidP="00D86880">
            <w:pPr>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color w:val="222222"/>
                <w:sz w:val="18"/>
                <w:szCs w:val="18"/>
                <w:highlight w:val="white"/>
              </w:rPr>
              <w:t>J</w:t>
            </w:r>
            <w:r>
              <w:rPr>
                <w:rFonts w:ascii="Times New Roman" w:eastAsia="Times New Roman" w:hAnsi="Times New Roman" w:cs="Times New Roman"/>
                <w:sz w:val="18"/>
                <w:szCs w:val="18"/>
              </w:rPr>
              <w:t>uengst, S. B., Royston, A., Huang, I. et al. (2019)</w:t>
            </w:r>
          </w:p>
        </w:tc>
        <w:tc>
          <w:tcPr>
            <w:tcW w:w="645" w:type="dxa"/>
            <w:tcBorders>
              <w:top w:val="nil"/>
              <w:left w:val="nil"/>
              <w:bottom w:val="single" w:sz="4" w:space="0" w:color="000000"/>
              <w:right w:val="single" w:sz="4" w:space="0" w:color="000000"/>
            </w:tcBorders>
            <w:vAlign w:val="center"/>
          </w:tcPr>
          <w:p w14:paraId="0DFE5EE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28AB3C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4E1EE10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1ABDBB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919570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2C2C3C9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381D94F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1E9C53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603EB85F"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613410F7"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257BC89F"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18CC3D0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24B3435"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3F24C8A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32752E"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Gloor, J. L., Li, X., Lim, S., &amp; Feierabend, A. (2018)</w:t>
            </w:r>
          </w:p>
        </w:tc>
        <w:tc>
          <w:tcPr>
            <w:tcW w:w="645" w:type="dxa"/>
            <w:tcBorders>
              <w:top w:val="nil"/>
              <w:left w:val="nil"/>
              <w:bottom w:val="single" w:sz="4" w:space="0" w:color="000000"/>
              <w:right w:val="single" w:sz="4" w:space="0" w:color="000000"/>
            </w:tcBorders>
            <w:vAlign w:val="center"/>
          </w:tcPr>
          <w:p w14:paraId="07C6164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550FD2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F0CAD5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4623DB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7E76DC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46B374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03432F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D9368C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7B282FC0"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4FBCCA31"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18A593F1"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23294BB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3376B872"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1A1E7E9E"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EC3112"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Verniers, C., &amp; Vala, J. (2018)</w:t>
            </w:r>
          </w:p>
        </w:tc>
        <w:tc>
          <w:tcPr>
            <w:tcW w:w="645" w:type="dxa"/>
            <w:tcBorders>
              <w:top w:val="nil"/>
              <w:left w:val="nil"/>
              <w:bottom w:val="single" w:sz="4" w:space="0" w:color="000000"/>
              <w:right w:val="single" w:sz="4" w:space="0" w:color="000000"/>
            </w:tcBorders>
            <w:vAlign w:val="center"/>
          </w:tcPr>
          <w:p w14:paraId="6623367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FED2C2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8C495F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8BAC41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00123E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6CA6F2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F1784D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44FD2C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45559EEA"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00BE5E90"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223E6ED7"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502EEE3F"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8AAD255"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6C8ECF91"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BDEBEE"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Zhuang, J., Bresnahan, M., Zhu, Y., Yan, X., Bogdan-Lovis, E., Goldbort, J., &amp; Haider, S. (2018)</w:t>
            </w:r>
          </w:p>
        </w:tc>
        <w:tc>
          <w:tcPr>
            <w:tcW w:w="645" w:type="dxa"/>
            <w:tcBorders>
              <w:top w:val="nil"/>
              <w:left w:val="nil"/>
              <w:bottom w:val="single" w:sz="4" w:space="0" w:color="000000"/>
              <w:right w:val="single" w:sz="4" w:space="0" w:color="000000"/>
            </w:tcBorders>
            <w:vAlign w:val="center"/>
          </w:tcPr>
          <w:p w14:paraId="3A10E5D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54E8E4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21B3ED9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EAF7B0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D0E761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ED5D21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BEA500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70C8D1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478E34FA"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5933170"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6ADC6EA0"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258CE14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35907CB"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3C53DE8C"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8D6843"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Adesoye, T., Mangurian, C., Choo, E. K. et al. (2017)</w:t>
            </w:r>
          </w:p>
        </w:tc>
        <w:tc>
          <w:tcPr>
            <w:tcW w:w="645" w:type="dxa"/>
            <w:tcBorders>
              <w:top w:val="nil"/>
              <w:left w:val="nil"/>
              <w:bottom w:val="single" w:sz="4" w:space="0" w:color="000000"/>
              <w:right w:val="single" w:sz="4" w:space="0" w:color="000000"/>
            </w:tcBorders>
            <w:vAlign w:val="center"/>
          </w:tcPr>
          <w:p w14:paraId="63E5D68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363495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3006738"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30" w:type="dxa"/>
            <w:tcBorders>
              <w:top w:val="nil"/>
              <w:left w:val="nil"/>
              <w:bottom w:val="single" w:sz="4" w:space="0" w:color="000000"/>
              <w:right w:val="single" w:sz="4" w:space="0" w:color="000000"/>
            </w:tcBorders>
            <w:vAlign w:val="center"/>
          </w:tcPr>
          <w:p w14:paraId="11848B1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4D7B5B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263CDB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9D8500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A8224B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3DC82021"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4185780A"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385B009C"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1633268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FC0DB29"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498CC3EC"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38451205"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Bariola, E., Jack, G., Pitts, M., Riach, K. &amp; Sarrel, P. (2017)</w:t>
            </w:r>
          </w:p>
        </w:tc>
        <w:tc>
          <w:tcPr>
            <w:tcW w:w="645" w:type="dxa"/>
            <w:tcBorders>
              <w:top w:val="nil"/>
              <w:left w:val="nil"/>
              <w:bottom w:val="single" w:sz="4" w:space="0" w:color="000000"/>
              <w:right w:val="single" w:sz="4" w:space="0" w:color="000000"/>
            </w:tcBorders>
            <w:vAlign w:val="center"/>
          </w:tcPr>
          <w:p w14:paraId="4CD1292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F238C4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61C8C5C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E590CA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9486CC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A826BB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186ACEE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49141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shd w:val="clear" w:color="auto" w:fill="AEAAAA"/>
            <w:vAlign w:val="center"/>
          </w:tcPr>
          <w:p w14:paraId="638D7852"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nil"/>
              <w:left w:val="nil"/>
              <w:bottom w:val="single" w:sz="4" w:space="0" w:color="000000"/>
              <w:right w:val="single" w:sz="4" w:space="0" w:color="000000"/>
            </w:tcBorders>
            <w:shd w:val="clear" w:color="auto" w:fill="AEAAAA"/>
            <w:vAlign w:val="center"/>
          </w:tcPr>
          <w:p w14:paraId="454DCC69"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54A7C431"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431E62CB"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B7CBB59"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24A4B6CC"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05702C" w14:textId="77777777" w:rsidR="005714A1" w:rsidRDefault="005714A1" w:rsidP="00D86880">
            <w:pPr>
              <w:spacing w:line="48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1F1F1F"/>
                <w:sz w:val="18"/>
                <w:szCs w:val="18"/>
              </w:rPr>
              <w:t>Jones, K. P.(2017)</w:t>
            </w:r>
          </w:p>
        </w:tc>
        <w:tc>
          <w:tcPr>
            <w:tcW w:w="645" w:type="dxa"/>
            <w:tcBorders>
              <w:top w:val="nil"/>
              <w:left w:val="nil"/>
              <w:bottom w:val="single" w:sz="4" w:space="0" w:color="000000"/>
              <w:right w:val="single" w:sz="4" w:space="0" w:color="000000"/>
            </w:tcBorders>
            <w:vAlign w:val="center"/>
          </w:tcPr>
          <w:p w14:paraId="11AD2D7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BB4F94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28CBFF9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5194C2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68B372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5CFBBD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D661DC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191C3C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301134CA"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1F22EE65"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1A20575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65C32C0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F1551D7"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4B2BFEA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1D524C8"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Żołnierczuk-Kieliszek, D., Janiszewska, M., Mielniczuk, A., Dziedzic, M. A, Firlej E. (2016)</w:t>
            </w:r>
          </w:p>
        </w:tc>
        <w:tc>
          <w:tcPr>
            <w:tcW w:w="645" w:type="dxa"/>
            <w:tcBorders>
              <w:top w:val="nil"/>
              <w:left w:val="nil"/>
              <w:bottom w:val="single" w:sz="4" w:space="0" w:color="000000"/>
              <w:right w:val="single" w:sz="4" w:space="0" w:color="000000"/>
            </w:tcBorders>
            <w:vAlign w:val="center"/>
          </w:tcPr>
          <w:p w14:paraId="18F0FDE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0483F8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EBA3759"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68EA1D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876207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6C7D289"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1AE4CE3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6C8559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5E888FD8"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8033353"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6DD4D988"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19AA2334"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47DF9E1"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5FF177AD"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890821"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Jones, K. P., King, E. B., Gilrane, V. L., McCausland, T. C., Cortina, J. M., &amp; Grimm, K. J. (2016)</w:t>
            </w:r>
          </w:p>
        </w:tc>
        <w:tc>
          <w:tcPr>
            <w:tcW w:w="645" w:type="dxa"/>
            <w:tcBorders>
              <w:top w:val="nil"/>
              <w:left w:val="nil"/>
              <w:bottom w:val="single" w:sz="4" w:space="0" w:color="000000"/>
              <w:right w:val="single" w:sz="4" w:space="0" w:color="000000"/>
            </w:tcBorders>
            <w:vAlign w:val="center"/>
          </w:tcPr>
          <w:p w14:paraId="1D09C37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A9D62A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22DEB57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4E4D91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A6A3EE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8FBBFB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CF6B83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00686B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756B587F"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322EF28E"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4E1BF32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214BD02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5B1A3E65" w14:textId="77777777" w:rsidTr="00D86880">
        <w:trPr>
          <w:trHeight w:val="560"/>
        </w:trPr>
        <w:tc>
          <w:tcPr>
            <w:tcW w:w="1185" w:type="dxa"/>
            <w:tcBorders>
              <w:top w:val="single" w:sz="4" w:space="0" w:color="000000"/>
              <w:left w:val="single" w:sz="4" w:space="0" w:color="000000"/>
              <w:bottom w:val="single" w:sz="4" w:space="0" w:color="000000"/>
              <w:right w:val="single" w:sz="6" w:space="0" w:color="000000"/>
            </w:tcBorders>
            <w:vAlign w:val="center"/>
          </w:tcPr>
          <w:p w14:paraId="1FE81B09"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61EA22"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rPr>
              <w:t>Fox, A. B., &amp; Quinn, D. M. (2015)</w:t>
            </w:r>
          </w:p>
        </w:tc>
        <w:tc>
          <w:tcPr>
            <w:tcW w:w="645" w:type="dxa"/>
            <w:tcBorders>
              <w:top w:val="single" w:sz="4" w:space="0" w:color="000000"/>
              <w:left w:val="nil"/>
              <w:bottom w:val="single" w:sz="4" w:space="0" w:color="000000"/>
              <w:right w:val="single" w:sz="4" w:space="0" w:color="000000"/>
            </w:tcBorders>
            <w:vAlign w:val="center"/>
          </w:tcPr>
          <w:p w14:paraId="155FE73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B3683D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56CE54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DA4157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vAlign w:val="center"/>
          </w:tcPr>
          <w:p w14:paraId="6AD8D6D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BB7CB8E"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7508D662"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6F15589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20F4CE1C"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6A93CAA2"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42D1871D"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7B392A5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B6ECB0E"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18D88D06"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6A6DAF9"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Griffiths, A., MacLennan, S. J., Hassard, J. (2013)</w:t>
            </w:r>
          </w:p>
        </w:tc>
        <w:tc>
          <w:tcPr>
            <w:tcW w:w="645" w:type="dxa"/>
            <w:tcBorders>
              <w:top w:val="single" w:sz="4" w:space="0" w:color="000000"/>
              <w:left w:val="nil"/>
              <w:bottom w:val="single" w:sz="4" w:space="0" w:color="000000"/>
              <w:right w:val="single" w:sz="4" w:space="0" w:color="000000"/>
            </w:tcBorders>
            <w:vAlign w:val="center"/>
          </w:tcPr>
          <w:p w14:paraId="0A2B5A5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C35E4A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A915F6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60543D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3075D4E"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C932B8A"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4FA1B6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9FB5B0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4AE0C083"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2B4643AC"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419EEE68"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092CEC38"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B2DB136"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0470A019"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BA818C"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Dunn, M. G., Rochlen, A. B., &amp; O’Brien, K. M. (2013)</w:t>
            </w:r>
          </w:p>
        </w:tc>
        <w:tc>
          <w:tcPr>
            <w:tcW w:w="645" w:type="dxa"/>
            <w:tcBorders>
              <w:top w:val="nil"/>
              <w:left w:val="nil"/>
              <w:bottom w:val="single" w:sz="4" w:space="0" w:color="000000"/>
              <w:right w:val="single" w:sz="4" w:space="0" w:color="000000"/>
            </w:tcBorders>
            <w:vAlign w:val="center"/>
          </w:tcPr>
          <w:p w14:paraId="6108C6F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8C64D0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A86923C"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77A4EF92"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0D87A3D6"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27A4FC85"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7F78417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375946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single" w:sz="4" w:space="0" w:color="000000"/>
              <w:left w:val="nil"/>
              <w:bottom w:val="single" w:sz="4" w:space="0" w:color="000000"/>
              <w:right w:val="single" w:sz="4" w:space="0" w:color="000000"/>
            </w:tcBorders>
            <w:shd w:val="clear" w:color="auto" w:fill="AEAAAA"/>
            <w:vAlign w:val="center"/>
          </w:tcPr>
          <w:p w14:paraId="10CB2995"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single" w:sz="4" w:space="0" w:color="000000"/>
              <w:left w:val="nil"/>
              <w:bottom w:val="single" w:sz="4" w:space="0" w:color="000000"/>
              <w:right w:val="single" w:sz="4" w:space="0" w:color="000000"/>
            </w:tcBorders>
            <w:shd w:val="clear" w:color="auto" w:fill="AEAAAA"/>
            <w:vAlign w:val="center"/>
          </w:tcPr>
          <w:p w14:paraId="5D06FDC3"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70420A5D"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30947A89"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Moderate</w:t>
            </w:r>
          </w:p>
        </w:tc>
      </w:tr>
      <w:tr w:rsidR="005714A1" w14:paraId="00B73AD2"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32F43D7C" w14:textId="77777777" w:rsidR="005714A1" w:rsidRDefault="005714A1" w:rsidP="00D86880">
            <w:pPr>
              <w:spacing w:line="48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Cohort study</w:t>
            </w:r>
          </w:p>
        </w:tc>
        <w:tc>
          <w:tcPr>
            <w:tcW w:w="4515" w:type="dxa"/>
            <w:tcBorders>
              <w:top w:val="nil"/>
              <w:left w:val="nil"/>
              <w:bottom w:val="single" w:sz="4" w:space="0" w:color="000000"/>
              <w:right w:val="single" w:sz="4" w:space="0" w:color="000000"/>
            </w:tcBorders>
            <w:vAlign w:val="center"/>
          </w:tcPr>
          <w:p w14:paraId="5EE781DB"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Paustian‐Underdahl, S. C., Little, L. M., Mandeville, A. M., Hinojosa, A. S., &amp; Keyes, A. (2024)</w:t>
            </w:r>
          </w:p>
        </w:tc>
        <w:tc>
          <w:tcPr>
            <w:tcW w:w="645" w:type="dxa"/>
            <w:tcBorders>
              <w:top w:val="nil"/>
              <w:left w:val="nil"/>
              <w:bottom w:val="single" w:sz="4" w:space="0" w:color="000000"/>
              <w:right w:val="single" w:sz="4" w:space="0" w:color="000000"/>
            </w:tcBorders>
            <w:vAlign w:val="center"/>
          </w:tcPr>
          <w:p w14:paraId="726D972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714CC93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29D16F7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2AF2D7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570B96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0865A1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3D3B404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51DE3C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6B7EB2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58C561A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273F403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409073C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DA2DFD5"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10583860"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23776331"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Borrowman, J. D., Krumboltz, R., Jones, M., &amp; Whitaker, K. M. (2023)</w:t>
            </w:r>
          </w:p>
        </w:tc>
        <w:tc>
          <w:tcPr>
            <w:tcW w:w="645" w:type="dxa"/>
            <w:tcBorders>
              <w:top w:val="nil"/>
              <w:left w:val="nil"/>
              <w:bottom w:val="single" w:sz="4" w:space="0" w:color="000000"/>
              <w:right w:val="single" w:sz="4" w:space="0" w:color="000000"/>
            </w:tcBorders>
            <w:vAlign w:val="center"/>
          </w:tcPr>
          <w:p w14:paraId="36250324"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4F63DF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5B4835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91EE9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1EC337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D7F0E0F"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E4B274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42E696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38E0DA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2BAF725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04C2ABB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3B41FD6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F0E6062"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1C71EDE9"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59C0BD1D"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Kachi, Y., Fujiwara, T., Inoue, A., Baba, S., Eguchi, H., Ohta, H., &amp; Tsutsumi, A. (2022)</w:t>
            </w:r>
          </w:p>
        </w:tc>
        <w:tc>
          <w:tcPr>
            <w:tcW w:w="645" w:type="dxa"/>
            <w:tcBorders>
              <w:top w:val="nil"/>
              <w:left w:val="nil"/>
              <w:bottom w:val="single" w:sz="4" w:space="0" w:color="000000"/>
              <w:right w:val="single" w:sz="4" w:space="0" w:color="000000"/>
            </w:tcBorders>
            <w:vAlign w:val="center"/>
          </w:tcPr>
          <w:p w14:paraId="5223E79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6784E7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067176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DFA958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147293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20526A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AA7CDE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291C69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D7D76B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4140F44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73E6FF9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7FE7EA24"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55F0FEF1"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659492CD"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0FD09E6A"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Jones, K.P., Brady, J. M., Lindsey, A. P., Cortina L. M. &amp; Major, C. K. (2022)</w:t>
            </w:r>
          </w:p>
        </w:tc>
        <w:tc>
          <w:tcPr>
            <w:tcW w:w="645" w:type="dxa"/>
            <w:tcBorders>
              <w:top w:val="nil"/>
              <w:left w:val="nil"/>
              <w:bottom w:val="single" w:sz="4" w:space="0" w:color="000000"/>
              <w:right w:val="single" w:sz="4" w:space="0" w:color="000000"/>
            </w:tcBorders>
            <w:vAlign w:val="center"/>
          </w:tcPr>
          <w:p w14:paraId="5159F71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369ECA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1A78ED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41FAA5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DD6BC7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208506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40099D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619B51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344850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26B113D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72523FD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58692D0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C18B36B"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1971537F"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2B9CF0DA"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Little L. M., Hinojosa A. S., Paustian-Underdahl S., Zipay K. P. (2018)</w:t>
            </w:r>
          </w:p>
        </w:tc>
        <w:tc>
          <w:tcPr>
            <w:tcW w:w="645" w:type="dxa"/>
            <w:tcBorders>
              <w:top w:val="nil"/>
              <w:left w:val="nil"/>
              <w:bottom w:val="single" w:sz="4" w:space="0" w:color="000000"/>
              <w:right w:val="single" w:sz="4" w:space="0" w:color="000000"/>
            </w:tcBorders>
            <w:vAlign w:val="center"/>
          </w:tcPr>
          <w:p w14:paraId="3ED09A2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30" w:type="dxa"/>
            <w:tcBorders>
              <w:top w:val="nil"/>
              <w:left w:val="nil"/>
              <w:bottom w:val="single" w:sz="4" w:space="0" w:color="000000"/>
              <w:right w:val="single" w:sz="4" w:space="0" w:color="000000"/>
            </w:tcBorders>
            <w:vAlign w:val="center"/>
          </w:tcPr>
          <w:p w14:paraId="63B5FA5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45" w:type="dxa"/>
            <w:tcBorders>
              <w:top w:val="nil"/>
              <w:left w:val="nil"/>
              <w:bottom w:val="single" w:sz="4" w:space="0" w:color="000000"/>
              <w:right w:val="single" w:sz="4" w:space="0" w:color="000000"/>
            </w:tcBorders>
            <w:vAlign w:val="center"/>
          </w:tcPr>
          <w:p w14:paraId="5752D73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01653F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3A0B49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73C56E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00DF8EA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B714EC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4E6F5A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B6B5EE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75" w:type="dxa"/>
            <w:tcBorders>
              <w:top w:val="nil"/>
              <w:left w:val="nil"/>
              <w:bottom w:val="single" w:sz="4" w:space="0" w:color="000000"/>
              <w:right w:val="single" w:sz="4" w:space="0" w:color="000000"/>
            </w:tcBorders>
            <w:vAlign w:val="center"/>
          </w:tcPr>
          <w:p w14:paraId="3124818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60893DE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01F2617"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2AA7C3F3"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w:t>
            </w:r>
          </w:p>
        </w:tc>
        <w:tc>
          <w:tcPr>
            <w:tcW w:w="4515" w:type="dxa"/>
            <w:tcBorders>
              <w:top w:val="nil"/>
              <w:left w:val="nil"/>
              <w:bottom w:val="single" w:sz="4" w:space="0" w:color="000000"/>
              <w:right w:val="single" w:sz="4" w:space="0" w:color="000000"/>
            </w:tcBorders>
            <w:vAlign w:val="center"/>
          </w:tcPr>
          <w:p w14:paraId="0114FDF9"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England, P., Bearak, J., Budig, M. J. et al. (2016)</w:t>
            </w:r>
          </w:p>
        </w:tc>
        <w:tc>
          <w:tcPr>
            <w:tcW w:w="645" w:type="dxa"/>
            <w:tcBorders>
              <w:top w:val="nil"/>
              <w:left w:val="nil"/>
              <w:bottom w:val="single" w:sz="4" w:space="0" w:color="000000"/>
              <w:right w:val="single" w:sz="4" w:space="0" w:color="000000"/>
            </w:tcBorders>
            <w:vAlign w:val="center"/>
          </w:tcPr>
          <w:p w14:paraId="1D5FF1E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4CF15F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78A5FD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28A7DC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608EB6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1F3B293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BA908E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EC8111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C43E510"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13B76484"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75" w:type="dxa"/>
            <w:tcBorders>
              <w:top w:val="nil"/>
              <w:left w:val="nil"/>
              <w:bottom w:val="single" w:sz="4" w:space="0" w:color="000000"/>
              <w:right w:val="single" w:sz="4" w:space="0" w:color="000000"/>
            </w:tcBorders>
            <w:vAlign w:val="center"/>
          </w:tcPr>
          <w:p w14:paraId="7D97DD4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461148B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2B672B8"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66050E21" w14:textId="77777777" w:rsidR="005714A1" w:rsidRDefault="005714A1" w:rsidP="00D86880">
            <w:pPr>
              <w:spacing w:line="48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Qualitative study</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AFBF6A8"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Steffan, B., &amp; Loretto, W. (2024)</w:t>
            </w:r>
          </w:p>
        </w:tc>
        <w:tc>
          <w:tcPr>
            <w:tcW w:w="645" w:type="dxa"/>
            <w:tcBorders>
              <w:top w:val="nil"/>
              <w:left w:val="nil"/>
              <w:bottom w:val="single" w:sz="4" w:space="0" w:color="000000"/>
              <w:right w:val="single" w:sz="4" w:space="0" w:color="000000"/>
            </w:tcBorders>
            <w:vAlign w:val="center"/>
          </w:tcPr>
          <w:p w14:paraId="5F326FB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CF55DE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C215D1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6FDD95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3885E4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19500E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C4FE86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094368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0FD855B"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8F1CE8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3F8BC131"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6F7F539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4EAAEA1"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2C5BAC6D"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53F29230"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Percival Carter, E.(2024)</w:t>
            </w:r>
          </w:p>
        </w:tc>
        <w:tc>
          <w:tcPr>
            <w:tcW w:w="645" w:type="dxa"/>
            <w:tcBorders>
              <w:top w:val="nil"/>
              <w:left w:val="nil"/>
              <w:bottom w:val="single" w:sz="4" w:space="0" w:color="000000"/>
              <w:right w:val="single" w:sz="4" w:space="0" w:color="000000"/>
            </w:tcBorders>
            <w:vAlign w:val="center"/>
          </w:tcPr>
          <w:p w14:paraId="1BDF1BF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93FEAF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04257CE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D35000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54F1E8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7520E6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1FF99E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5C0F36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645F216"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6464F6A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10575B82"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025E40DA"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94113ED"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6A3A429C"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581A4FA2"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Gatrell, C., Ladge, J. J., &amp; Powell, G. N. (2024)</w:t>
            </w:r>
          </w:p>
        </w:tc>
        <w:tc>
          <w:tcPr>
            <w:tcW w:w="645" w:type="dxa"/>
            <w:tcBorders>
              <w:top w:val="nil"/>
              <w:left w:val="nil"/>
              <w:bottom w:val="single" w:sz="4" w:space="0" w:color="000000"/>
              <w:right w:val="single" w:sz="4" w:space="0" w:color="000000"/>
            </w:tcBorders>
            <w:vAlign w:val="center"/>
          </w:tcPr>
          <w:p w14:paraId="046DE87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77B3B2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D99039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22A6E3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0D3626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87350F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AF56F5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4BC511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77FB0F4"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8B4531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08E35F2A"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15C67346"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C2F4A8D"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50A66096"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19D42D24"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Fitzpatrick, K., &amp; Sweet, B. (2024)</w:t>
            </w:r>
          </w:p>
        </w:tc>
        <w:tc>
          <w:tcPr>
            <w:tcW w:w="645" w:type="dxa"/>
            <w:tcBorders>
              <w:top w:val="nil"/>
              <w:left w:val="nil"/>
              <w:bottom w:val="single" w:sz="4" w:space="0" w:color="000000"/>
              <w:right w:val="single" w:sz="4" w:space="0" w:color="000000"/>
            </w:tcBorders>
            <w:vAlign w:val="center"/>
          </w:tcPr>
          <w:p w14:paraId="7BD47EF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217AF1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01A595E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873578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BF226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3BE81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E767E5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2D9C57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7795BB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45C0747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0341C6AA"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0D6F26C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E08E3F0"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3D4C0526"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286E5B72"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Ziegler, Y., Graml, R., Uli, V. et al. (2023)</w:t>
            </w:r>
          </w:p>
        </w:tc>
        <w:tc>
          <w:tcPr>
            <w:tcW w:w="645" w:type="dxa"/>
            <w:tcBorders>
              <w:top w:val="nil"/>
              <w:left w:val="nil"/>
              <w:bottom w:val="single" w:sz="4" w:space="0" w:color="000000"/>
              <w:right w:val="single" w:sz="4" w:space="0" w:color="000000"/>
            </w:tcBorders>
            <w:vAlign w:val="center"/>
          </w:tcPr>
          <w:p w14:paraId="2CB6F9A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2957D2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BEFEF9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EC6DE8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E52CE4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9BF9A4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068DBF7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06F77B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F4C581E"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0EDD6D1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5FADC372"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282FD4F1"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50ECC95"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461D457B"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6BFF4A9C"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Borrowman, J. D., Unke, M., Jones, M., &amp; Whitaker, K. M. (2023)</w:t>
            </w:r>
          </w:p>
        </w:tc>
        <w:tc>
          <w:tcPr>
            <w:tcW w:w="645" w:type="dxa"/>
            <w:tcBorders>
              <w:top w:val="nil"/>
              <w:left w:val="nil"/>
              <w:bottom w:val="single" w:sz="4" w:space="0" w:color="000000"/>
              <w:right w:val="single" w:sz="4" w:space="0" w:color="000000"/>
            </w:tcBorders>
            <w:vAlign w:val="center"/>
          </w:tcPr>
          <w:p w14:paraId="3BDE351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56A774E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13D32B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3D04E8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9628BF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49FFED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19002080"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34EB904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C0B2CCA"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63C22D4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2B4FEC37"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3425B14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38146DBE" w14:textId="77777777" w:rsidTr="00D86880">
        <w:trPr>
          <w:trHeight w:val="560"/>
        </w:trPr>
        <w:tc>
          <w:tcPr>
            <w:tcW w:w="1185" w:type="dxa"/>
            <w:tcBorders>
              <w:top w:val="nil"/>
              <w:left w:val="single" w:sz="4" w:space="0" w:color="000000"/>
              <w:bottom w:val="single" w:sz="4" w:space="0" w:color="000000"/>
              <w:right w:val="single" w:sz="4" w:space="0" w:color="000000"/>
            </w:tcBorders>
            <w:vAlign w:val="center"/>
          </w:tcPr>
          <w:p w14:paraId="43CB3729"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66100139"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Whiley, L. A., Wright, A., Stutterheim, S. E., &amp; Grandy, G. (2023).</w:t>
            </w:r>
          </w:p>
        </w:tc>
        <w:tc>
          <w:tcPr>
            <w:tcW w:w="645" w:type="dxa"/>
            <w:tcBorders>
              <w:top w:val="nil"/>
              <w:left w:val="nil"/>
              <w:bottom w:val="single" w:sz="4" w:space="0" w:color="000000"/>
              <w:right w:val="single" w:sz="4" w:space="0" w:color="000000"/>
            </w:tcBorders>
            <w:vAlign w:val="center"/>
          </w:tcPr>
          <w:p w14:paraId="0F0BE60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684CA8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F5B508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D2DF61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7465AB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1123B0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3703A23"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3373377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622C516"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5EEFD16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31424D24"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5796324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E049816"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02C2ED97"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4515" w:type="dxa"/>
            <w:tcBorders>
              <w:top w:val="nil"/>
              <w:left w:val="nil"/>
              <w:bottom w:val="single" w:sz="4" w:space="0" w:color="000000"/>
              <w:right w:val="single" w:sz="4" w:space="0" w:color="000000"/>
            </w:tcBorders>
            <w:vAlign w:val="center"/>
          </w:tcPr>
          <w:p w14:paraId="0B216BFC"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Rowson, J S., Jaworska, S., Gibas, I. (2023)</w:t>
            </w:r>
          </w:p>
        </w:tc>
        <w:tc>
          <w:tcPr>
            <w:tcW w:w="645" w:type="dxa"/>
            <w:tcBorders>
              <w:top w:val="nil"/>
              <w:left w:val="nil"/>
              <w:bottom w:val="single" w:sz="4" w:space="0" w:color="000000"/>
              <w:right w:val="single" w:sz="4" w:space="0" w:color="000000"/>
            </w:tcBorders>
            <w:vAlign w:val="center"/>
          </w:tcPr>
          <w:p w14:paraId="1C3869E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B42CA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0C623EF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0152A9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70FE5E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7F3C33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D949E7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9914AA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5EA8ED6"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5276863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28083AC9"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5EC3F11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E0482F5"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314B3539"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2D458C26"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Day, M. A., Gil-Rivas, V., &amp; Quinlan, M. M. (2023)</w:t>
            </w:r>
          </w:p>
        </w:tc>
        <w:tc>
          <w:tcPr>
            <w:tcW w:w="645" w:type="dxa"/>
            <w:tcBorders>
              <w:top w:val="nil"/>
              <w:left w:val="nil"/>
              <w:bottom w:val="single" w:sz="4" w:space="0" w:color="000000"/>
              <w:right w:val="single" w:sz="4" w:space="0" w:color="000000"/>
            </w:tcBorders>
            <w:vAlign w:val="center"/>
          </w:tcPr>
          <w:p w14:paraId="601E495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4F1AAD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4634A29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C4E97E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E266E5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3637EA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AFDD8D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7741DE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CABD51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71A0F8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0DD338F1"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7B3C292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5D9189C6"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1E20C22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69C52124"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Dillard, N., &amp; Walker, C. M. (2022)</w:t>
            </w:r>
          </w:p>
        </w:tc>
        <w:tc>
          <w:tcPr>
            <w:tcW w:w="645" w:type="dxa"/>
            <w:tcBorders>
              <w:top w:val="nil"/>
              <w:left w:val="nil"/>
              <w:bottom w:val="single" w:sz="4" w:space="0" w:color="000000"/>
              <w:right w:val="single" w:sz="4" w:space="0" w:color="000000"/>
            </w:tcBorders>
            <w:vAlign w:val="center"/>
          </w:tcPr>
          <w:p w14:paraId="4A954D2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CBD9A4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0D53A3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F280DD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EA7459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224DDC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B5D49A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14DF593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76E931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480E63E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6B1A65E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6EC38350"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40D49EE"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335F588E"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6BD52171"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Champaloux, E. P., Acosta, A. S., Gray, S. T. et al. (2022)</w:t>
            </w:r>
          </w:p>
        </w:tc>
        <w:tc>
          <w:tcPr>
            <w:tcW w:w="645" w:type="dxa"/>
            <w:tcBorders>
              <w:top w:val="nil"/>
              <w:left w:val="nil"/>
              <w:bottom w:val="single" w:sz="4" w:space="0" w:color="000000"/>
              <w:right w:val="single" w:sz="4" w:space="0" w:color="000000"/>
            </w:tcBorders>
            <w:vAlign w:val="center"/>
          </w:tcPr>
          <w:p w14:paraId="6A70CE6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4AC3ED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EF3484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6295A0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B70D21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2393BC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48B7701A"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4054665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0E8049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6004993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2B7627E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6EE576D9"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5E4ADEE5"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3CDA2D44"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w:t>
            </w:r>
          </w:p>
        </w:tc>
        <w:tc>
          <w:tcPr>
            <w:tcW w:w="4515" w:type="dxa"/>
            <w:tcBorders>
              <w:top w:val="nil"/>
              <w:left w:val="nil"/>
              <w:bottom w:val="single" w:sz="4" w:space="0" w:color="000000"/>
              <w:right w:val="single" w:sz="4" w:space="0" w:color="000000"/>
            </w:tcBorders>
            <w:vAlign w:val="center"/>
          </w:tcPr>
          <w:p w14:paraId="190762A5"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Hobson G, Dennis N. (2021)</w:t>
            </w:r>
          </w:p>
        </w:tc>
        <w:tc>
          <w:tcPr>
            <w:tcW w:w="645" w:type="dxa"/>
            <w:tcBorders>
              <w:top w:val="nil"/>
              <w:left w:val="nil"/>
              <w:bottom w:val="single" w:sz="4" w:space="0" w:color="000000"/>
              <w:right w:val="single" w:sz="4" w:space="0" w:color="000000"/>
            </w:tcBorders>
            <w:vAlign w:val="center"/>
          </w:tcPr>
          <w:p w14:paraId="4B601EB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1875D5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011402E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7BF67B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4FC0DD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4AABA8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4C1CDD1"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0A01946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9A8211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4209729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7F7E474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2A82282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398A41E7"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7955CDA8"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6BBF9765"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Holton, M. R., &amp; Bailey, K. (2021)</w:t>
            </w:r>
          </w:p>
        </w:tc>
        <w:tc>
          <w:tcPr>
            <w:tcW w:w="645" w:type="dxa"/>
            <w:tcBorders>
              <w:top w:val="nil"/>
              <w:left w:val="nil"/>
              <w:bottom w:val="single" w:sz="4" w:space="0" w:color="000000"/>
              <w:right w:val="single" w:sz="4" w:space="0" w:color="000000"/>
            </w:tcBorders>
            <w:vAlign w:val="center"/>
          </w:tcPr>
          <w:p w14:paraId="301FF72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559579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F819C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A5950B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F7A52A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2C17FC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450989D"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2FBA14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15" w:type="dxa"/>
            <w:tcBorders>
              <w:top w:val="nil"/>
              <w:left w:val="nil"/>
              <w:bottom w:val="single" w:sz="4" w:space="0" w:color="000000"/>
              <w:right w:val="single" w:sz="4" w:space="0" w:color="000000"/>
            </w:tcBorders>
            <w:vAlign w:val="center"/>
          </w:tcPr>
          <w:p w14:paraId="6A668C8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7B2B488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46894EAF"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1C9C76E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4D5D866" w14:textId="77777777" w:rsidTr="00D86880">
        <w:trPr>
          <w:trHeight w:val="800"/>
        </w:trPr>
        <w:tc>
          <w:tcPr>
            <w:tcW w:w="1185" w:type="dxa"/>
            <w:tcBorders>
              <w:top w:val="nil"/>
              <w:left w:val="single" w:sz="4" w:space="0" w:color="000000"/>
              <w:bottom w:val="single" w:sz="4" w:space="0" w:color="000000"/>
              <w:right w:val="single" w:sz="4" w:space="0" w:color="000000"/>
            </w:tcBorders>
            <w:vAlign w:val="bottom"/>
          </w:tcPr>
          <w:p w14:paraId="080F076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4515" w:type="dxa"/>
            <w:tcBorders>
              <w:top w:val="nil"/>
              <w:left w:val="nil"/>
              <w:bottom w:val="single" w:sz="4" w:space="0" w:color="000000"/>
              <w:right w:val="single" w:sz="4" w:space="0" w:color="000000"/>
            </w:tcBorders>
            <w:vAlign w:val="center"/>
          </w:tcPr>
          <w:p w14:paraId="439C7F2B"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Atkinson, C., Carmichael, F., Duberley, J. (2021)</w:t>
            </w:r>
          </w:p>
        </w:tc>
        <w:tc>
          <w:tcPr>
            <w:tcW w:w="645" w:type="dxa"/>
            <w:tcBorders>
              <w:top w:val="nil"/>
              <w:left w:val="nil"/>
              <w:bottom w:val="single" w:sz="4" w:space="0" w:color="000000"/>
              <w:right w:val="single" w:sz="4" w:space="0" w:color="000000"/>
            </w:tcBorders>
            <w:vAlign w:val="center"/>
          </w:tcPr>
          <w:p w14:paraId="65C772A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F866F4C"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45" w:type="dxa"/>
            <w:tcBorders>
              <w:top w:val="nil"/>
              <w:left w:val="nil"/>
              <w:bottom w:val="single" w:sz="4" w:space="0" w:color="000000"/>
              <w:right w:val="single" w:sz="4" w:space="0" w:color="000000"/>
            </w:tcBorders>
            <w:vAlign w:val="center"/>
          </w:tcPr>
          <w:p w14:paraId="53688F6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D521F4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28613B4"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CAE831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DE79A4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916FBC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1C4B9C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33172C7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1B123ED5"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2601242F"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BCBFBE1"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6ADB72CE"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4515" w:type="dxa"/>
            <w:tcBorders>
              <w:top w:val="nil"/>
              <w:left w:val="nil"/>
              <w:bottom w:val="single" w:sz="4" w:space="0" w:color="000000"/>
              <w:right w:val="single" w:sz="4" w:space="0" w:color="000000"/>
            </w:tcBorders>
            <w:vAlign w:val="center"/>
          </w:tcPr>
          <w:p w14:paraId="7FD03A0D"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Beck, V. A., Brewis, J., &amp; Davies, A (2021)</w:t>
            </w:r>
          </w:p>
        </w:tc>
        <w:tc>
          <w:tcPr>
            <w:tcW w:w="645" w:type="dxa"/>
            <w:tcBorders>
              <w:top w:val="nil"/>
              <w:left w:val="nil"/>
              <w:bottom w:val="single" w:sz="4" w:space="0" w:color="000000"/>
              <w:right w:val="single" w:sz="4" w:space="0" w:color="000000"/>
            </w:tcBorders>
            <w:vAlign w:val="center"/>
          </w:tcPr>
          <w:p w14:paraId="724FF03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FC06D89"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45" w:type="dxa"/>
            <w:tcBorders>
              <w:top w:val="nil"/>
              <w:left w:val="nil"/>
              <w:bottom w:val="single" w:sz="4" w:space="0" w:color="000000"/>
              <w:right w:val="single" w:sz="4" w:space="0" w:color="000000"/>
            </w:tcBorders>
            <w:vAlign w:val="center"/>
          </w:tcPr>
          <w:p w14:paraId="14371A1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20F04E1B"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15" w:type="dxa"/>
            <w:tcBorders>
              <w:top w:val="nil"/>
              <w:left w:val="nil"/>
              <w:bottom w:val="single" w:sz="4" w:space="0" w:color="000000"/>
              <w:right w:val="single" w:sz="4" w:space="0" w:color="000000"/>
            </w:tcBorders>
            <w:vAlign w:val="center"/>
          </w:tcPr>
          <w:p w14:paraId="3DF1174F"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517FFB3"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4B9533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4BB238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A4DC543"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6495540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4FC6B08B"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146FB05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High</w:t>
            </w:r>
          </w:p>
        </w:tc>
      </w:tr>
      <w:tr w:rsidR="005714A1" w14:paraId="3209DAAE"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7B8AA227"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4515" w:type="dxa"/>
            <w:tcBorders>
              <w:top w:val="nil"/>
              <w:left w:val="nil"/>
              <w:bottom w:val="single" w:sz="4" w:space="0" w:color="000000"/>
              <w:right w:val="single" w:sz="4" w:space="0" w:color="000000"/>
            </w:tcBorders>
            <w:vAlign w:val="center"/>
          </w:tcPr>
          <w:p w14:paraId="107BB3F2"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Riach, K., &amp; Jack, G. (2021)</w:t>
            </w:r>
          </w:p>
        </w:tc>
        <w:tc>
          <w:tcPr>
            <w:tcW w:w="645" w:type="dxa"/>
            <w:tcBorders>
              <w:top w:val="nil"/>
              <w:left w:val="nil"/>
              <w:bottom w:val="single" w:sz="4" w:space="0" w:color="000000"/>
              <w:right w:val="single" w:sz="4" w:space="0" w:color="000000"/>
            </w:tcBorders>
            <w:vAlign w:val="center"/>
          </w:tcPr>
          <w:p w14:paraId="74B3157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54B6C2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098183D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8AC91B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F602BC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77C072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C2BFE5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EC879B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BF31B82"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2873078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5FF4431F"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38BFD2E1"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0CC990E"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3F170FFD"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72CD4163" w14:textId="77777777" w:rsidR="005714A1" w:rsidRDefault="005714A1" w:rsidP="00D86880">
            <w:pPr>
              <w:widowControl w:val="0"/>
              <w:spacing w:line="480" w:lineRule="auto"/>
              <w:rPr>
                <w:rFonts w:ascii="Times New Roman" w:eastAsia="Times New Roman" w:hAnsi="Times New Roman" w:cs="Times New Roman"/>
                <w:color w:val="FF00FF"/>
                <w:sz w:val="18"/>
                <w:szCs w:val="18"/>
              </w:rPr>
            </w:pPr>
            <w:r>
              <w:rPr>
                <w:rFonts w:ascii="Times New Roman" w:eastAsia="Times New Roman" w:hAnsi="Times New Roman" w:cs="Times New Roman"/>
                <w:sz w:val="18"/>
                <w:szCs w:val="18"/>
              </w:rPr>
              <w:t>Sang K., Remnant J., Calvard T. &amp; Myhill K. (2021)</w:t>
            </w:r>
          </w:p>
        </w:tc>
        <w:tc>
          <w:tcPr>
            <w:tcW w:w="645" w:type="dxa"/>
            <w:tcBorders>
              <w:top w:val="nil"/>
              <w:left w:val="nil"/>
              <w:bottom w:val="single" w:sz="4" w:space="0" w:color="000000"/>
              <w:right w:val="single" w:sz="4" w:space="0" w:color="000000"/>
            </w:tcBorders>
            <w:vAlign w:val="center"/>
          </w:tcPr>
          <w:p w14:paraId="4752630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EAF0619"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B89CA2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01CB7D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8C5C17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59BF6ED"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B5CD64F"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13968A5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145E5D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418EAEA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19CF6F8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45F6314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08A6AD9"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14186D0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081B6F34"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Akhtar, T., &amp; Khan, M. A. (2020)</w:t>
            </w:r>
          </w:p>
        </w:tc>
        <w:tc>
          <w:tcPr>
            <w:tcW w:w="645" w:type="dxa"/>
            <w:tcBorders>
              <w:top w:val="nil"/>
              <w:left w:val="nil"/>
              <w:bottom w:val="single" w:sz="4" w:space="0" w:color="000000"/>
              <w:right w:val="single" w:sz="4" w:space="0" w:color="000000"/>
            </w:tcBorders>
            <w:vAlign w:val="center"/>
          </w:tcPr>
          <w:p w14:paraId="1F85C03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92B926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479D9CB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492040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0B066F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A69F77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E46F722"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53838C9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78B59ABA"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69FDC6E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47C49D81"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5CDB34EE"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5E87622F" w14:textId="77777777" w:rsidTr="00D86880">
        <w:trPr>
          <w:trHeight w:val="560"/>
        </w:trPr>
        <w:tc>
          <w:tcPr>
            <w:tcW w:w="1185" w:type="dxa"/>
            <w:tcBorders>
              <w:top w:val="single" w:sz="4" w:space="0" w:color="000000"/>
              <w:left w:val="single" w:sz="4" w:space="0" w:color="000000"/>
              <w:bottom w:val="single" w:sz="4" w:space="0" w:color="000000"/>
              <w:right w:val="single" w:sz="4" w:space="0" w:color="000000"/>
            </w:tcBorders>
            <w:vAlign w:val="center"/>
          </w:tcPr>
          <w:p w14:paraId="3931DF40"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4E5A9D"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Geukes M, Oosterhof H, van Aalst MP, Anema JR. (2020)</w:t>
            </w:r>
          </w:p>
        </w:tc>
        <w:tc>
          <w:tcPr>
            <w:tcW w:w="645" w:type="dxa"/>
            <w:tcBorders>
              <w:top w:val="nil"/>
              <w:left w:val="nil"/>
              <w:bottom w:val="single" w:sz="4" w:space="0" w:color="000000"/>
              <w:right w:val="single" w:sz="4" w:space="0" w:color="000000"/>
            </w:tcBorders>
            <w:vAlign w:val="center"/>
          </w:tcPr>
          <w:p w14:paraId="5DF713F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AC70B1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101F31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2D84D0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F0F762E"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3F35B9EC"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0B2A6C4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588959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3DFABB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6CBF1B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single" w:sz="4" w:space="0" w:color="000000"/>
              <w:left w:val="nil"/>
              <w:bottom w:val="single" w:sz="4" w:space="0" w:color="000000"/>
              <w:right w:val="single" w:sz="4" w:space="0" w:color="000000"/>
            </w:tcBorders>
            <w:shd w:val="clear" w:color="auto" w:fill="AEAAAA"/>
            <w:vAlign w:val="center"/>
          </w:tcPr>
          <w:p w14:paraId="59059A1A"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single" w:sz="4" w:space="0" w:color="000000"/>
              <w:left w:val="nil"/>
              <w:bottom w:val="single" w:sz="4" w:space="0" w:color="000000"/>
              <w:right w:val="single" w:sz="4" w:space="0" w:color="000000"/>
            </w:tcBorders>
            <w:vAlign w:val="center"/>
          </w:tcPr>
          <w:p w14:paraId="46F5CB5C"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00B2DF3"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0ACE9625"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3262C097"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rPr>
              <w:t>Chun, L. D., Ye, R., &amp; Wilby, K. J (2020)</w:t>
            </w:r>
          </w:p>
        </w:tc>
        <w:tc>
          <w:tcPr>
            <w:tcW w:w="645" w:type="dxa"/>
            <w:tcBorders>
              <w:top w:val="nil"/>
              <w:left w:val="nil"/>
              <w:bottom w:val="single" w:sz="4" w:space="0" w:color="000000"/>
              <w:right w:val="single" w:sz="4" w:space="0" w:color="000000"/>
            </w:tcBorders>
            <w:vAlign w:val="center"/>
          </w:tcPr>
          <w:p w14:paraId="11832EB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0A3A50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0FEDE2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C9C50B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3D11CD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84C9CA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E229B31"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0A88F8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D97EBA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6838B19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62030AEF"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29C75B6D"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C4A27CE"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27EEBCD0"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0CCE42DE"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Belinda Steffan (2020)</w:t>
            </w:r>
          </w:p>
        </w:tc>
        <w:tc>
          <w:tcPr>
            <w:tcW w:w="645" w:type="dxa"/>
            <w:tcBorders>
              <w:top w:val="nil"/>
              <w:left w:val="nil"/>
              <w:bottom w:val="single" w:sz="4" w:space="0" w:color="000000"/>
              <w:right w:val="single" w:sz="4" w:space="0" w:color="000000"/>
            </w:tcBorders>
            <w:vAlign w:val="center"/>
          </w:tcPr>
          <w:p w14:paraId="5FE8072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36842F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1DD834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A01FF3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9A8418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6E60D5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29A98C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5FE3B96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E4D47BD"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35C5FFE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07F6ACB1"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1D4BB421"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0F046C4"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43E61787"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6D215C19"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Wayne, A. S., Mueller, M. K., &amp; Rosenbaum, M. (2020)</w:t>
            </w:r>
          </w:p>
        </w:tc>
        <w:tc>
          <w:tcPr>
            <w:tcW w:w="645" w:type="dxa"/>
            <w:tcBorders>
              <w:top w:val="nil"/>
              <w:left w:val="nil"/>
              <w:bottom w:val="single" w:sz="4" w:space="0" w:color="000000"/>
              <w:right w:val="single" w:sz="4" w:space="0" w:color="000000"/>
            </w:tcBorders>
            <w:vAlign w:val="center"/>
          </w:tcPr>
          <w:p w14:paraId="33D724E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FB00C5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FD6053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0934E9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E3A226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746FB2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591DB4F3"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3B3A77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7E2B79BB"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64E9F96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7F12225C"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75BD0EDE"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653B968"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4CD7D19A"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0E90D94A" w14:textId="77777777" w:rsidR="005714A1" w:rsidRDefault="005714A1" w:rsidP="00D86880">
            <w:pPr>
              <w:widowControl w:val="0"/>
              <w:spacing w:line="480" w:lineRule="auto"/>
              <w:rPr>
                <w:rFonts w:ascii="Times New Roman" w:eastAsia="Times New Roman" w:hAnsi="Times New Roman" w:cs="Times New Roman"/>
                <w:color w:val="222222"/>
                <w:sz w:val="18"/>
                <w:szCs w:val="18"/>
              </w:rPr>
            </w:pPr>
            <w:r>
              <w:rPr>
                <w:rFonts w:ascii="Times New Roman" w:eastAsia="Times New Roman" w:hAnsi="Times New Roman" w:cs="Times New Roman"/>
                <w:sz w:val="18"/>
                <w:szCs w:val="18"/>
              </w:rPr>
              <w:t>Gabriel, A. S., Volpone, S. D., MacGowan, R. L., Butts, M. M., &amp; Moran, C. M. (2020)</w:t>
            </w:r>
          </w:p>
        </w:tc>
        <w:tc>
          <w:tcPr>
            <w:tcW w:w="645" w:type="dxa"/>
            <w:tcBorders>
              <w:top w:val="nil"/>
              <w:left w:val="nil"/>
              <w:bottom w:val="single" w:sz="4" w:space="0" w:color="000000"/>
              <w:right w:val="single" w:sz="4" w:space="0" w:color="000000"/>
            </w:tcBorders>
            <w:vAlign w:val="center"/>
          </w:tcPr>
          <w:p w14:paraId="65ECA54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428D73E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47A3457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DACF86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FC2E2F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289B2CA"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779CA46E"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4F5D00E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DF79E51"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5F81567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7FDE6F7C"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1367F5F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57C3EF06"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24FC98D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w:t>
            </w:r>
          </w:p>
        </w:tc>
        <w:tc>
          <w:tcPr>
            <w:tcW w:w="4515" w:type="dxa"/>
            <w:tcBorders>
              <w:top w:val="nil"/>
              <w:left w:val="nil"/>
              <w:bottom w:val="single" w:sz="4" w:space="0" w:color="000000"/>
              <w:right w:val="single" w:sz="4" w:space="0" w:color="000000"/>
            </w:tcBorders>
            <w:vAlign w:val="center"/>
          </w:tcPr>
          <w:p w14:paraId="0980EDBE" w14:textId="77777777" w:rsidR="005714A1" w:rsidRDefault="005714A1" w:rsidP="00D86880">
            <w:pPr>
              <w:spacing w:line="480" w:lineRule="auto"/>
              <w:rPr>
                <w:rFonts w:ascii="Times New Roman" w:eastAsia="Times New Roman" w:hAnsi="Times New Roman" w:cs="Times New Roman"/>
                <w:color w:val="FF00FF"/>
                <w:sz w:val="18"/>
                <w:szCs w:val="18"/>
              </w:rPr>
            </w:pPr>
            <w:r>
              <w:rPr>
                <w:rFonts w:ascii="Times New Roman" w:eastAsia="Times New Roman" w:hAnsi="Times New Roman" w:cs="Times New Roman"/>
                <w:sz w:val="18"/>
                <w:szCs w:val="18"/>
              </w:rPr>
              <w:t>Barnack-Tavlarisa J. L. , Hansena K., Levittb R. B., &amp; Renob M. (2019)</w:t>
            </w:r>
          </w:p>
        </w:tc>
        <w:tc>
          <w:tcPr>
            <w:tcW w:w="645" w:type="dxa"/>
            <w:tcBorders>
              <w:top w:val="nil"/>
              <w:left w:val="nil"/>
              <w:bottom w:val="single" w:sz="4" w:space="0" w:color="000000"/>
              <w:right w:val="single" w:sz="4" w:space="0" w:color="000000"/>
            </w:tcBorders>
            <w:vAlign w:val="center"/>
          </w:tcPr>
          <w:p w14:paraId="322D3FE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CF87AE0"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38E98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08017E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D21738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759B287"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72291A0"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343983E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D85705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23344B8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2842F05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2B0AC8BE"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DCEA77C"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12B59665"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5B5752AB" w14:textId="77777777" w:rsidR="005714A1" w:rsidRDefault="005714A1" w:rsidP="00D86880">
            <w:pPr>
              <w:spacing w:before="240" w:after="240" w:line="480" w:lineRule="auto"/>
              <w:jc w:val="both"/>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highlight w:val="white"/>
              </w:rPr>
              <w:t>Hardy, C., Griffiths, A., Thorne, E., &amp; Hunter, M. (2018)</w:t>
            </w:r>
          </w:p>
        </w:tc>
        <w:tc>
          <w:tcPr>
            <w:tcW w:w="645" w:type="dxa"/>
            <w:tcBorders>
              <w:top w:val="nil"/>
              <w:left w:val="nil"/>
              <w:bottom w:val="single" w:sz="4" w:space="0" w:color="000000"/>
              <w:right w:val="single" w:sz="4" w:space="0" w:color="000000"/>
            </w:tcBorders>
            <w:vAlign w:val="center"/>
          </w:tcPr>
          <w:p w14:paraId="400B49E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C1E1BD3"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A1E34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3CC7F6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7413AC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C780D4D"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4A3213B"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113EC1C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F9BE37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A729B6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69C0C7AF"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23B97BCA"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7242D4E"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1BFC153E"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30C7B32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Akhter, T., Khan, M. A., &amp; Afzal, S. (2018)</w:t>
            </w:r>
          </w:p>
        </w:tc>
        <w:tc>
          <w:tcPr>
            <w:tcW w:w="645" w:type="dxa"/>
            <w:tcBorders>
              <w:top w:val="nil"/>
              <w:left w:val="nil"/>
              <w:bottom w:val="single" w:sz="4" w:space="0" w:color="000000"/>
              <w:right w:val="single" w:sz="4" w:space="0" w:color="000000"/>
            </w:tcBorders>
            <w:vAlign w:val="center"/>
          </w:tcPr>
          <w:p w14:paraId="7830D1E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3F0A87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427B9D4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B4E2BB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0EF499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6E81934"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611B9B75"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7B27C0D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F1E53D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0984626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36C02C2A"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056B0ED1"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5FA47FB"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41EB112E"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71FEF7B0" w14:textId="77777777" w:rsidR="005714A1" w:rsidRDefault="005714A1" w:rsidP="00D86880">
            <w:pPr>
              <w:spacing w:line="480" w:lineRule="auto"/>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Rangel, E. L., Castillo-Angeles, M., Changala, M. et al. (2018)</w:t>
            </w:r>
          </w:p>
        </w:tc>
        <w:tc>
          <w:tcPr>
            <w:tcW w:w="645" w:type="dxa"/>
            <w:tcBorders>
              <w:top w:val="nil"/>
              <w:left w:val="nil"/>
              <w:bottom w:val="single" w:sz="4" w:space="0" w:color="000000"/>
              <w:right w:val="single" w:sz="4" w:space="0" w:color="000000"/>
            </w:tcBorders>
            <w:vAlign w:val="center"/>
          </w:tcPr>
          <w:p w14:paraId="5D70FCF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2A499D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0FAFBE3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420A19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2E3E9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C7D320A"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39F57084"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17EA4B5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259758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CFF11A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30557B21"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5A6168B2"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D89CF8B"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4DA867C9"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50A270AC" w14:textId="77777777" w:rsidR="005714A1" w:rsidRDefault="005714A1" w:rsidP="00D86880">
            <w:pPr>
              <w:spacing w:line="480" w:lineRule="auto"/>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Bresnahan, M., Zhuang, J., Anderson, J., Zhu, Y., Nelson, J., &amp; Yan, X.  (2018)</w:t>
            </w:r>
          </w:p>
        </w:tc>
        <w:tc>
          <w:tcPr>
            <w:tcW w:w="645" w:type="dxa"/>
            <w:tcBorders>
              <w:top w:val="nil"/>
              <w:left w:val="nil"/>
              <w:bottom w:val="single" w:sz="4" w:space="0" w:color="000000"/>
              <w:right w:val="single" w:sz="4" w:space="0" w:color="000000"/>
            </w:tcBorders>
            <w:vAlign w:val="center"/>
          </w:tcPr>
          <w:p w14:paraId="02C94A7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F3B1BE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9AAA1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2054C6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05120F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36ADF94"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560FF28D"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3CD8F77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A9B88A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6BD6F78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30E346CB"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1A1FB5B0"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7DA40FC"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3AEBE096"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0613B336"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Halley, M. C., Rustagi, A. S., Torres, J. S., Linos, E., Plaut, V., Mangurian, C., Choo, E. &amp; Linos, E. (2018)</w:t>
            </w:r>
          </w:p>
        </w:tc>
        <w:tc>
          <w:tcPr>
            <w:tcW w:w="645" w:type="dxa"/>
            <w:tcBorders>
              <w:top w:val="nil"/>
              <w:left w:val="nil"/>
              <w:bottom w:val="single" w:sz="4" w:space="0" w:color="000000"/>
              <w:right w:val="single" w:sz="4" w:space="0" w:color="000000"/>
            </w:tcBorders>
            <w:vAlign w:val="center"/>
          </w:tcPr>
          <w:p w14:paraId="3CCED47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5BAB04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4608763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DAC1C8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ED0681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C36723A"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4FC91188"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6FB26EF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B58BEE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06A1238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6EDBAF14"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7CD87A56"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84E2B32"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2AFBD43F"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1A0A406B"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Hardy,C., Griffiths, A., Thorne, E., Hunter H. (2017)</w:t>
            </w:r>
          </w:p>
          <w:p w14:paraId="1655FFF2" w14:textId="77777777" w:rsidR="005714A1" w:rsidRDefault="005714A1" w:rsidP="00D86880">
            <w:pPr>
              <w:widowControl w:val="0"/>
              <w:spacing w:line="480" w:lineRule="auto"/>
              <w:rPr>
                <w:rFonts w:ascii="Times New Roman" w:eastAsia="Times New Roman" w:hAnsi="Times New Roman" w:cs="Times New Roman"/>
                <w:sz w:val="18"/>
                <w:szCs w:val="18"/>
              </w:rPr>
            </w:pPr>
          </w:p>
        </w:tc>
        <w:tc>
          <w:tcPr>
            <w:tcW w:w="645" w:type="dxa"/>
            <w:tcBorders>
              <w:top w:val="nil"/>
              <w:left w:val="nil"/>
              <w:bottom w:val="single" w:sz="4" w:space="0" w:color="000000"/>
              <w:right w:val="single" w:sz="4" w:space="0" w:color="000000"/>
            </w:tcBorders>
            <w:vAlign w:val="center"/>
          </w:tcPr>
          <w:p w14:paraId="7C48ADC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B403E8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AAABB2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2DA63F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F38E4C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54AE548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3EEE9B6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2CBE99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3CD7B1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vAlign w:val="center"/>
          </w:tcPr>
          <w:p w14:paraId="3CF8A38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29A77C3E"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19562174"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295A814"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09DBDEA8"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52F97D11" w14:textId="77777777" w:rsidR="005714A1" w:rsidRDefault="005714A1" w:rsidP="00D86880">
            <w:pPr>
              <w:widowControl w:val="0"/>
              <w:spacing w:line="480" w:lineRule="auto"/>
              <w:rPr>
                <w:rFonts w:ascii="Times New Roman" w:eastAsia="Times New Roman" w:hAnsi="Times New Roman" w:cs="Times New Roman"/>
                <w:color w:val="FF00FF"/>
                <w:sz w:val="18"/>
                <w:szCs w:val="18"/>
              </w:rPr>
            </w:pPr>
            <w:r>
              <w:rPr>
                <w:rFonts w:ascii="Times New Roman" w:eastAsia="Times New Roman" w:hAnsi="Times New Roman" w:cs="Times New Roman"/>
                <w:sz w:val="18"/>
                <w:szCs w:val="18"/>
              </w:rPr>
              <w:t>Byron, R. A., &amp; Roscigno, V. J. (2014)</w:t>
            </w:r>
          </w:p>
        </w:tc>
        <w:tc>
          <w:tcPr>
            <w:tcW w:w="645" w:type="dxa"/>
            <w:tcBorders>
              <w:top w:val="nil"/>
              <w:left w:val="nil"/>
              <w:bottom w:val="single" w:sz="4" w:space="0" w:color="000000"/>
              <w:right w:val="single" w:sz="4" w:space="0" w:color="000000"/>
            </w:tcBorders>
            <w:vAlign w:val="center"/>
          </w:tcPr>
          <w:p w14:paraId="483FCB3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26304B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BB8F29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13F6C5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92C052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68CE377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A3337C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29EEF1A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EB98E4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3F930D6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0775442B"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38C4D7C0"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946FB83"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725E047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4515" w:type="dxa"/>
            <w:tcBorders>
              <w:top w:val="nil"/>
              <w:left w:val="nil"/>
              <w:bottom w:val="single" w:sz="4" w:space="0" w:color="000000"/>
              <w:right w:val="single" w:sz="4" w:space="0" w:color="000000"/>
            </w:tcBorders>
            <w:vAlign w:val="center"/>
          </w:tcPr>
          <w:p w14:paraId="1BDE5D84"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Gatrell, C. (2011)</w:t>
            </w:r>
          </w:p>
        </w:tc>
        <w:tc>
          <w:tcPr>
            <w:tcW w:w="645" w:type="dxa"/>
            <w:tcBorders>
              <w:top w:val="nil"/>
              <w:left w:val="nil"/>
              <w:bottom w:val="single" w:sz="4" w:space="0" w:color="000000"/>
              <w:right w:val="single" w:sz="4" w:space="0" w:color="000000"/>
            </w:tcBorders>
            <w:vAlign w:val="center"/>
          </w:tcPr>
          <w:p w14:paraId="3CB6566A"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3A1DE29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278AC30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167B26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234571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CFCD063"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9D33C0F"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7B3D9F9"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9BE0D1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6B08C07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49CD376D"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60D43D7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9CEC73B" w14:textId="77777777" w:rsidTr="00D86880">
        <w:trPr>
          <w:trHeight w:val="560"/>
        </w:trPr>
        <w:tc>
          <w:tcPr>
            <w:tcW w:w="1185" w:type="dxa"/>
            <w:tcBorders>
              <w:top w:val="nil"/>
              <w:left w:val="single" w:sz="4" w:space="0" w:color="000000"/>
              <w:bottom w:val="single" w:sz="4" w:space="0" w:color="000000"/>
              <w:right w:val="single" w:sz="4" w:space="0" w:color="000000"/>
            </w:tcBorders>
            <w:vAlign w:val="bottom"/>
          </w:tcPr>
          <w:p w14:paraId="432B9F0A"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4515" w:type="dxa"/>
            <w:tcBorders>
              <w:top w:val="nil"/>
              <w:left w:val="nil"/>
              <w:bottom w:val="single" w:sz="4" w:space="0" w:color="000000"/>
              <w:right w:val="single" w:sz="4" w:space="0" w:color="000000"/>
            </w:tcBorders>
            <w:vAlign w:val="center"/>
          </w:tcPr>
          <w:p w14:paraId="7B812349"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Crowley, J. E. (2013)</w:t>
            </w:r>
          </w:p>
        </w:tc>
        <w:tc>
          <w:tcPr>
            <w:tcW w:w="645" w:type="dxa"/>
            <w:tcBorders>
              <w:top w:val="nil"/>
              <w:left w:val="nil"/>
              <w:bottom w:val="single" w:sz="4" w:space="0" w:color="000000"/>
              <w:right w:val="single" w:sz="4" w:space="0" w:color="000000"/>
            </w:tcBorders>
            <w:vAlign w:val="center"/>
          </w:tcPr>
          <w:p w14:paraId="2433B3D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E87E10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6DCFB449"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44434F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7B045C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072255C"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560FFF21"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3EBB847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3AD6475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497A9FB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75" w:type="dxa"/>
            <w:tcBorders>
              <w:top w:val="nil"/>
              <w:left w:val="nil"/>
              <w:bottom w:val="single" w:sz="4" w:space="0" w:color="000000"/>
              <w:right w:val="single" w:sz="4" w:space="0" w:color="000000"/>
            </w:tcBorders>
            <w:shd w:val="clear" w:color="auto" w:fill="AEAAAA"/>
            <w:vAlign w:val="center"/>
          </w:tcPr>
          <w:p w14:paraId="004E9058"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tc>
        <w:tc>
          <w:tcPr>
            <w:tcW w:w="765" w:type="dxa"/>
            <w:tcBorders>
              <w:top w:val="nil"/>
              <w:left w:val="nil"/>
              <w:bottom w:val="single" w:sz="4" w:space="0" w:color="000000"/>
              <w:right w:val="single" w:sz="4" w:space="0" w:color="000000"/>
            </w:tcBorders>
            <w:vAlign w:val="center"/>
          </w:tcPr>
          <w:p w14:paraId="6104376A"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Moderate</w:t>
            </w:r>
          </w:p>
        </w:tc>
      </w:tr>
      <w:tr w:rsidR="005714A1" w14:paraId="79907E80"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0CBE15FA" w14:textId="77777777" w:rsidR="005714A1" w:rsidRDefault="005714A1" w:rsidP="00D86880">
            <w:pPr>
              <w:spacing w:line="480" w:lineRule="auto"/>
              <w:rPr>
                <w:rFonts w:ascii="Times New Roman" w:eastAsia="Times New Roman" w:hAnsi="Times New Roman" w:cs="Times New Roman"/>
                <w:b/>
                <w:i/>
                <w:sz w:val="18"/>
                <w:szCs w:val="18"/>
              </w:rPr>
            </w:pPr>
            <w:r>
              <w:rPr>
                <w:rFonts w:ascii="Times New Roman" w:eastAsia="Times New Roman" w:hAnsi="Times New Roman" w:cs="Times New Roman"/>
                <w:b/>
                <w:sz w:val="18"/>
                <w:szCs w:val="18"/>
              </w:rPr>
              <w:t>Systematic Reviews</w:t>
            </w:r>
          </w:p>
        </w:tc>
        <w:tc>
          <w:tcPr>
            <w:tcW w:w="4515" w:type="dxa"/>
            <w:tcBorders>
              <w:top w:val="nil"/>
              <w:left w:val="nil"/>
              <w:bottom w:val="single" w:sz="4" w:space="0" w:color="000000"/>
              <w:right w:val="single" w:sz="4" w:space="0" w:color="000000"/>
            </w:tcBorders>
            <w:vAlign w:val="center"/>
          </w:tcPr>
          <w:p w14:paraId="735DCEE4" w14:textId="77777777" w:rsidR="005714A1" w:rsidRDefault="005714A1" w:rsidP="00D86880">
            <w:pPr>
              <w:widowControl w:val="0"/>
              <w:spacing w:line="480" w:lineRule="auto"/>
              <w:rPr>
                <w:rFonts w:ascii="Times New Roman" w:eastAsia="Times New Roman" w:hAnsi="Times New Roman" w:cs="Times New Roman"/>
                <w:color w:val="222222"/>
                <w:sz w:val="18"/>
                <w:szCs w:val="18"/>
              </w:rPr>
            </w:pPr>
            <w:r>
              <w:rPr>
                <w:rFonts w:ascii="Times New Roman" w:eastAsia="Times New Roman" w:hAnsi="Times New Roman" w:cs="Times New Roman"/>
                <w:sz w:val="18"/>
                <w:szCs w:val="18"/>
              </w:rPr>
              <w:t>Morrison, L. J., Abbott, A. G., Mack, Z. et al. (2023)</w:t>
            </w:r>
          </w:p>
        </w:tc>
        <w:tc>
          <w:tcPr>
            <w:tcW w:w="645" w:type="dxa"/>
            <w:tcBorders>
              <w:top w:val="nil"/>
              <w:left w:val="nil"/>
              <w:bottom w:val="single" w:sz="4" w:space="0" w:color="000000"/>
              <w:right w:val="single" w:sz="4" w:space="0" w:color="000000"/>
            </w:tcBorders>
            <w:vAlign w:val="center"/>
          </w:tcPr>
          <w:p w14:paraId="70D6EE12"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078227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1BCE5DA3"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6EAF11C"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E309BAD"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79D0E534"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5DF6064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25BE4E1"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A6854B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6F86ED8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265380A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6C7C59DE"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D50D5DF"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3751E139"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single" w:sz="4" w:space="0" w:color="000000"/>
              <w:right w:val="single" w:sz="4" w:space="0" w:color="000000"/>
            </w:tcBorders>
            <w:vAlign w:val="center"/>
          </w:tcPr>
          <w:p w14:paraId="5B3A10C3" w14:textId="77777777" w:rsidR="005714A1" w:rsidRDefault="005714A1" w:rsidP="00D86880">
            <w:pPr>
              <w:widowControl w:val="0"/>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color w:val="222222"/>
                <w:sz w:val="18"/>
                <w:szCs w:val="18"/>
                <w:highlight w:val="white"/>
              </w:rPr>
              <w:t>Casilla-Lennon, M., Hanchuk, S., Zheng, S., Kim, D. D., Press, B., Nguyen, J. V., Grimshaw, A.</w:t>
            </w:r>
          </w:p>
          <w:p w14:paraId="5DA1E680"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Leapman, M.S., &amp; Cavallo, J. A. (2022).</w:t>
            </w:r>
          </w:p>
        </w:tc>
        <w:tc>
          <w:tcPr>
            <w:tcW w:w="645" w:type="dxa"/>
            <w:tcBorders>
              <w:top w:val="nil"/>
              <w:left w:val="nil"/>
              <w:bottom w:val="single" w:sz="4" w:space="0" w:color="000000"/>
              <w:right w:val="single" w:sz="4" w:space="0" w:color="000000"/>
            </w:tcBorders>
            <w:vAlign w:val="center"/>
          </w:tcPr>
          <w:p w14:paraId="2714984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C2315E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490C935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27D489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B55EC52"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A57D31E"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264B01C3"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268F63D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65F60C50"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2B4357C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518AD9F6" w14:textId="77777777" w:rsidR="005714A1" w:rsidRDefault="005714A1" w:rsidP="00D86880">
            <w:pPr>
              <w:spacing w:line="48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56D89173"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9F7B10B"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3129B7D6"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single" w:sz="4" w:space="0" w:color="000000"/>
              <w:right w:val="single" w:sz="4" w:space="0" w:color="000000"/>
            </w:tcBorders>
            <w:vAlign w:val="center"/>
          </w:tcPr>
          <w:p w14:paraId="287E4ED5" w14:textId="77777777" w:rsidR="005714A1" w:rsidRDefault="005714A1" w:rsidP="00D86880">
            <w:pPr>
              <w:widowControl w:val="0"/>
              <w:spacing w:line="480" w:lineRule="auto"/>
              <w:rPr>
                <w:rFonts w:ascii="Times New Roman" w:eastAsia="Times New Roman" w:hAnsi="Times New Roman" w:cs="Times New Roman"/>
                <w:i/>
                <w:sz w:val="18"/>
                <w:szCs w:val="18"/>
              </w:rPr>
            </w:pPr>
            <w:r>
              <w:rPr>
                <w:rFonts w:ascii="Times New Roman" w:eastAsia="Times New Roman" w:hAnsi="Times New Roman" w:cs="Times New Roman"/>
                <w:sz w:val="18"/>
                <w:szCs w:val="18"/>
              </w:rPr>
              <w:t>Verdonk, P. Bendiena, E. &amp; Appelman, Y. (2022)</w:t>
            </w:r>
          </w:p>
        </w:tc>
        <w:tc>
          <w:tcPr>
            <w:tcW w:w="645" w:type="dxa"/>
            <w:tcBorders>
              <w:top w:val="nil"/>
              <w:left w:val="nil"/>
              <w:bottom w:val="single" w:sz="4" w:space="0" w:color="000000"/>
              <w:right w:val="single" w:sz="4" w:space="0" w:color="000000"/>
            </w:tcBorders>
            <w:vAlign w:val="center"/>
          </w:tcPr>
          <w:p w14:paraId="10A2FCC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7C8F98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419543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AC1515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55B7F9B"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723B2BD5"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630D7201"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15DB724C"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1EBC9099"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4303FFE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0B7CC485" w14:textId="77777777" w:rsidR="005714A1" w:rsidRDefault="005714A1" w:rsidP="00D86880">
            <w:pPr>
              <w:spacing w:line="480" w:lineRule="auto"/>
              <w:jc w:val="center"/>
              <w:rPr>
                <w:rFonts w:ascii="Times New Roman" w:eastAsia="Times New Roman" w:hAnsi="Times New Roman" w:cs="Times New Roman"/>
                <w:color w:val="FF0000"/>
                <w:sz w:val="16"/>
                <w:szCs w:val="16"/>
              </w:rPr>
            </w:pPr>
            <w:r>
              <w:rPr>
                <w:rFonts w:ascii="Times New Roman" w:eastAsia="Times New Roman" w:hAnsi="Times New Roman" w:cs="Times New Roman"/>
                <w:sz w:val="16"/>
                <w:szCs w:val="16"/>
              </w:rPr>
              <w:t> </w:t>
            </w:r>
            <w:r>
              <w:rPr>
                <w:rFonts w:ascii="Times New Roman" w:eastAsia="Times New Roman" w:hAnsi="Times New Roman" w:cs="Times New Roman"/>
                <w:color w:val="FF0000"/>
                <w:sz w:val="60"/>
                <w:szCs w:val="60"/>
              </w:rPr>
              <w:t>·</w:t>
            </w:r>
          </w:p>
        </w:tc>
        <w:tc>
          <w:tcPr>
            <w:tcW w:w="765" w:type="dxa"/>
            <w:tcBorders>
              <w:top w:val="nil"/>
              <w:left w:val="nil"/>
              <w:bottom w:val="single" w:sz="4" w:space="0" w:color="000000"/>
              <w:right w:val="single" w:sz="4" w:space="0" w:color="000000"/>
            </w:tcBorders>
            <w:vAlign w:val="center"/>
          </w:tcPr>
          <w:p w14:paraId="4C8BCB01"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Moderate</w:t>
            </w:r>
          </w:p>
        </w:tc>
      </w:tr>
      <w:tr w:rsidR="005714A1" w14:paraId="1200B1FF"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1E4FB802"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single" w:sz="4" w:space="0" w:color="000000"/>
              <w:right w:val="single" w:sz="4" w:space="0" w:color="000000"/>
            </w:tcBorders>
            <w:vAlign w:val="center"/>
          </w:tcPr>
          <w:p w14:paraId="7352E35D" w14:textId="77777777" w:rsidR="005714A1" w:rsidRDefault="005714A1" w:rsidP="00D86880">
            <w:pPr>
              <w:widowControl w:val="0"/>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color w:val="222222"/>
                <w:sz w:val="18"/>
                <w:szCs w:val="18"/>
                <w:highlight w:val="white"/>
              </w:rPr>
              <w:t>Chesak, S. S., Yngve, K. C., Taylor, J. M., Voth, E. R., &amp; Bhagra, A. (2021)</w:t>
            </w:r>
          </w:p>
        </w:tc>
        <w:tc>
          <w:tcPr>
            <w:tcW w:w="645" w:type="dxa"/>
            <w:tcBorders>
              <w:top w:val="nil"/>
              <w:left w:val="nil"/>
              <w:bottom w:val="single" w:sz="4" w:space="0" w:color="000000"/>
              <w:right w:val="single" w:sz="4" w:space="0" w:color="000000"/>
            </w:tcBorders>
            <w:vAlign w:val="center"/>
          </w:tcPr>
          <w:p w14:paraId="4DE9614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D46537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DFDA2B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6657810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45FD8E6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2B4D13B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46F9DE1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7ACB1D28"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5D2A75D3"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40F707E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5FF60F9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7DC1E1CF"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High</w:t>
            </w:r>
          </w:p>
        </w:tc>
      </w:tr>
      <w:tr w:rsidR="005714A1" w14:paraId="138E38E9"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3FB9376A"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single" w:sz="4" w:space="0" w:color="000000"/>
              <w:right w:val="single" w:sz="4" w:space="0" w:color="000000"/>
            </w:tcBorders>
            <w:vAlign w:val="center"/>
          </w:tcPr>
          <w:p w14:paraId="3F8FA4B1"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Todd, A. R., Cawthorn, T. R., &amp; Temple-Oberle, C. (2020)</w:t>
            </w:r>
          </w:p>
        </w:tc>
        <w:tc>
          <w:tcPr>
            <w:tcW w:w="645" w:type="dxa"/>
            <w:tcBorders>
              <w:top w:val="nil"/>
              <w:left w:val="nil"/>
              <w:bottom w:val="single" w:sz="4" w:space="0" w:color="000000"/>
              <w:right w:val="single" w:sz="4" w:space="0" w:color="000000"/>
            </w:tcBorders>
            <w:vAlign w:val="center"/>
          </w:tcPr>
          <w:p w14:paraId="04ADE33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DF237F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05A55D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49C527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C14FAD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BE8193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321C50A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034E4826"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6D327F7E"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4551ECA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72EF9D9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6D7DF0DD"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EB6C41C"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522A0867"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single" w:sz="4" w:space="0" w:color="000000"/>
              <w:right w:val="single" w:sz="4" w:space="0" w:color="000000"/>
            </w:tcBorders>
            <w:vAlign w:val="center"/>
          </w:tcPr>
          <w:p w14:paraId="31913561"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Jack, G., Riacha, K., Bariola, E., Pitts, M., Schapper, J., Sarre, P. (2015)</w:t>
            </w:r>
          </w:p>
        </w:tc>
        <w:tc>
          <w:tcPr>
            <w:tcW w:w="645" w:type="dxa"/>
            <w:tcBorders>
              <w:top w:val="nil"/>
              <w:left w:val="nil"/>
              <w:bottom w:val="single" w:sz="4" w:space="0" w:color="000000"/>
              <w:right w:val="single" w:sz="4" w:space="0" w:color="000000"/>
            </w:tcBorders>
            <w:vAlign w:val="center"/>
          </w:tcPr>
          <w:p w14:paraId="2AB99B8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D90B3A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2349FD0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87D58E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BC766F6"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BC5C030"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0C6ABC9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75D1CDCF"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CD1800E"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5C2A445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5C8BD035" w14:textId="77777777" w:rsidR="005714A1" w:rsidRDefault="005714A1" w:rsidP="00D86880">
            <w:pPr>
              <w:spacing w:line="48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7ABF79F6"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71C3EF6C"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648E35D2"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single" w:sz="4" w:space="0" w:color="000000"/>
              <w:right w:val="single" w:sz="4" w:space="0" w:color="000000"/>
            </w:tcBorders>
            <w:vAlign w:val="center"/>
          </w:tcPr>
          <w:p w14:paraId="3EB3965A" w14:textId="77777777" w:rsidR="005714A1" w:rsidRDefault="005714A1" w:rsidP="00D86880">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rPr>
              <w:t>Salihu, H. M., Myers, J., &amp; August, E. M. (2012)</w:t>
            </w:r>
          </w:p>
        </w:tc>
        <w:tc>
          <w:tcPr>
            <w:tcW w:w="645" w:type="dxa"/>
            <w:tcBorders>
              <w:top w:val="nil"/>
              <w:left w:val="nil"/>
              <w:bottom w:val="single" w:sz="4" w:space="0" w:color="000000"/>
              <w:right w:val="single" w:sz="4" w:space="0" w:color="000000"/>
            </w:tcBorders>
            <w:vAlign w:val="center"/>
          </w:tcPr>
          <w:p w14:paraId="0A9BC51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14E5381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8A55BF7"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3AC5E08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5442A388"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1B887D1D"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5E3479CE"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1E31BD7D"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15" w:type="dxa"/>
            <w:tcBorders>
              <w:top w:val="nil"/>
              <w:left w:val="nil"/>
              <w:bottom w:val="single" w:sz="4" w:space="0" w:color="000000"/>
              <w:right w:val="single" w:sz="4" w:space="0" w:color="000000"/>
            </w:tcBorders>
            <w:vAlign w:val="center"/>
          </w:tcPr>
          <w:p w14:paraId="753F1C3B"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90" w:type="dxa"/>
            <w:tcBorders>
              <w:top w:val="nil"/>
              <w:left w:val="nil"/>
              <w:bottom w:val="single" w:sz="4" w:space="0" w:color="000000"/>
              <w:right w:val="single" w:sz="4" w:space="0" w:color="000000"/>
            </w:tcBorders>
            <w:vAlign w:val="center"/>
          </w:tcPr>
          <w:p w14:paraId="112AE9A4"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3651E2C4" w14:textId="77777777" w:rsidR="005714A1" w:rsidRDefault="005714A1" w:rsidP="00D86880">
            <w:pPr>
              <w:spacing w:line="48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7E7536CA"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High</w:t>
            </w:r>
          </w:p>
        </w:tc>
      </w:tr>
      <w:tr w:rsidR="005714A1" w14:paraId="30E5A4D2"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04C4EECF"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single" w:sz="4" w:space="0" w:color="000000"/>
              <w:right w:val="single" w:sz="4" w:space="0" w:color="000000"/>
            </w:tcBorders>
            <w:vAlign w:val="center"/>
          </w:tcPr>
          <w:p w14:paraId="120A3652" w14:textId="77777777" w:rsidR="005714A1" w:rsidRDefault="005714A1" w:rsidP="00D86880">
            <w:pPr>
              <w:widowControl w:val="0"/>
              <w:spacing w:line="480" w:lineRule="auto"/>
              <w:rPr>
                <w:rFonts w:ascii="Times New Roman" w:eastAsia="Times New Roman" w:hAnsi="Times New Roman" w:cs="Times New Roman"/>
                <w:color w:val="222222"/>
                <w:sz w:val="18"/>
                <w:szCs w:val="18"/>
              </w:rPr>
            </w:pPr>
            <w:r>
              <w:rPr>
                <w:rFonts w:ascii="Times New Roman" w:eastAsia="Times New Roman" w:hAnsi="Times New Roman" w:cs="Times New Roman"/>
                <w:sz w:val="18"/>
                <w:szCs w:val="18"/>
              </w:rPr>
              <w:t xml:space="preserve">Gatrell, C. (2011) </w:t>
            </w:r>
          </w:p>
        </w:tc>
        <w:tc>
          <w:tcPr>
            <w:tcW w:w="645" w:type="dxa"/>
            <w:tcBorders>
              <w:top w:val="nil"/>
              <w:left w:val="nil"/>
              <w:bottom w:val="single" w:sz="4" w:space="0" w:color="000000"/>
              <w:right w:val="single" w:sz="4" w:space="0" w:color="000000"/>
            </w:tcBorders>
            <w:vAlign w:val="center"/>
          </w:tcPr>
          <w:p w14:paraId="2CD2A754"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86A1C8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09D641AA"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30" w:type="dxa"/>
            <w:tcBorders>
              <w:top w:val="nil"/>
              <w:left w:val="nil"/>
              <w:bottom w:val="single" w:sz="4" w:space="0" w:color="000000"/>
              <w:right w:val="single" w:sz="4" w:space="0" w:color="000000"/>
            </w:tcBorders>
            <w:vAlign w:val="center"/>
          </w:tcPr>
          <w:p w14:paraId="7BA1D492"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A64DFA0"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5AE3B6E5"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00" w:type="dxa"/>
            <w:tcBorders>
              <w:top w:val="nil"/>
              <w:left w:val="nil"/>
              <w:bottom w:val="single" w:sz="4" w:space="0" w:color="000000"/>
              <w:right w:val="single" w:sz="4" w:space="0" w:color="000000"/>
            </w:tcBorders>
            <w:vAlign w:val="center"/>
          </w:tcPr>
          <w:p w14:paraId="6CEC4AC0"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3FFCA69B"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5A904FB7"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90" w:type="dxa"/>
            <w:tcBorders>
              <w:top w:val="nil"/>
              <w:left w:val="nil"/>
              <w:bottom w:val="single" w:sz="4" w:space="0" w:color="000000"/>
              <w:right w:val="single" w:sz="4" w:space="0" w:color="000000"/>
            </w:tcBorders>
            <w:vAlign w:val="center"/>
          </w:tcPr>
          <w:p w14:paraId="6D4EFD4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75" w:type="dxa"/>
            <w:tcBorders>
              <w:top w:val="nil"/>
              <w:left w:val="nil"/>
              <w:bottom w:val="single" w:sz="4" w:space="0" w:color="000000"/>
              <w:right w:val="single" w:sz="4" w:space="0" w:color="000000"/>
            </w:tcBorders>
            <w:vAlign w:val="center"/>
          </w:tcPr>
          <w:p w14:paraId="0A57E99C" w14:textId="77777777" w:rsidR="005714A1" w:rsidRDefault="005714A1" w:rsidP="00D86880">
            <w:pPr>
              <w:spacing w:line="48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70AD47"/>
                <w:sz w:val="60"/>
                <w:szCs w:val="60"/>
              </w:rPr>
              <w:t>·</w:t>
            </w:r>
          </w:p>
        </w:tc>
        <w:tc>
          <w:tcPr>
            <w:tcW w:w="765" w:type="dxa"/>
            <w:tcBorders>
              <w:top w:val="nil"/>
              <w:left w:val="nil"/>
              <w:bottom w:val="single" w:sz="4" w:space="0" w:color="000000"/>
              <w:right w:val="single" w:sz="4" w:space="0" w:color="000000"/>
            </w:tcBorders>
            <w:vAlign w:val="center"/>
          </w:tcPr>
          <w:p w14:paraId="69A9C489"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Moderate</w:t>
            </w:r>
          </w:p>
        </w:tc>
      </w:tr>
      <w:tr w:rsidR="005714A1" w14:paraId="398E3C7B"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74F0D916" w14:textId="77777777" w:rsidR="005714A1" w:rsidRDefault="005714A1" w:rsidP="00D86880">
            <w:pPr>
              <w:spacing w:line="48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Quasi experimental studies</w:t>
            </w:r>
          </w:p>
        </w:tc>
        <w:tc>
          <w:tcPr>
            <w:tcW w:w="4515" w:type="dxa"/>
            <w:tcBorders>
              <w:top w:val="nil"/>
              <w:left w:val="nil"/>
              <w:bottom w:val="single" w:sz="4" w:space="0" w:color="000000"/>
              <w:right w:val="single" w:sz="4" w:space="0" w:color="000000"/>
            </w:tcBorders>
            <w:vAlign w:val="center"/>
          </w:tcPr>
          <w:p w14:paraId="56C52829" w14:textId="77777777" w:rsidR="005714A1" w:rsidRDefault="005714A1" w:rsidP="00D86880">
            <w:pPr>
              <w:widowControl w:val="0"/>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sz w:val="18"/>
                <w:szCs w:val="18"/>
              </w:rPr>
              <w:t>Cheung, H. K., Anderson, A. J., King, E. B., Mahabir, B., Warner, K., &amp; Jones, K. P. (2022)</w:t>
            </w:r>
          </w:p>
        </w:tc>
        <w:tc>
          <w:tcPr>
            <w:tcW w:w="645" w:type="dxa"/>
            <w:tcBorders>
              <w:top w:val="nil"/>
              <w:left w:val="nil"/>
              <w:bottom w:val="single" w:sz="4" w:space="0" w:color="000000"/>
              <w:right w:val="single" w:sz="4" w:space="0" w:color="000000"/>
            </w:tcBorders>
            <w:vAlign w:val="center"/>
          </w:tcPr>
          <w:p w14:paraId="64A2A0C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DFFFEF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70E5146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F4DC3D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055EB69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1D8FB47F"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D0C265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6285011"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15" w:type="dxa"/>
            <w:tcBorders>
              <w:top w:val="nil"/>
              <w:left w:val="nil"/>
              <w:bottom w:val="single" w:sz="4" w:space="0" w:color="000000"/>
              <w:right w:val="single" w:sz="4" w:space="0" w:color="000000"/>
            </w:tcBorders>
            <w:vAlign w:val="center"/>
          </w:tcPr>
          <w:p w14:paraId="1394824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shd w:val="clear" w:color="auto" w:fill="AEAAAA"/>
            <w:vAlign w:val="center"/>
          </w:tcPr>
          <w:p w14:paraId="4357B3EA"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169E001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46760AEF"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367EF9AC"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20B3035E" w14:textId="77777777" w:rsidR="005714A1" w:rsidRDefault="005714A1" w:rsidP="00D86880">
            <w:pPr>
              <w:spacing w:line="480" w:lineRule="auto"/>
              <w:rPr>
                <w:rFonts w:ascii="Times New Roman" w:eastAsia="Times New Roman" w:hAnsi="Times New Roman" w:cs="Times New Roman"/>
                <w:b/>
                <w:sz w:val="18"/>
                <w:szCs w:val="18"/>
              </w:rPr>
            </w:pPr>
          </w:p>
        </w:tc>
        <w:tc>
          <w:tcPr>
            <w:tcW w:w="4515" w:type="dxa"/>
            <w:tcBorders>
              <w:top w:val="nil"/>
              <w:left w:val="nil"/>
              <w:bottom w:val="single" w:sz="4" w:space="0" w:color="000000"/>
              <w:right w:val="single" w:sz="4" w:space="0" w:color="000000"/>
            </w:tcBorders>
            <w:vAlign w:val="center"/>
          </w:tcPr>
          <w:p w14:paraId="0E94E7F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Gloor, J. L., Li, X., Lim, S., &amp; Feierabend, A. (2022)</w:t>
            </w:r>
          </w:p>
        </w:tc>
        <w:tc>
          <w:tcPr>
            <w:tcW w:w="645" w:type="dxa"/>
            <w:tcBorders>
              <w:top w:val="nil"/>
              <w:left w:val="nil"/>
              <w:bottom w:val="single" w:sz="4" w:space="0" w:color="000000"/>
              <w:right w:val="single" w:sz="4" w:space="0" w:color="000000"/>
            </w:tcBorders>
            <w:vAlign w:val="center"/>
          </w:tcPr>
          <w:p w14:paraId="0193DF21"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0E393C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55A9529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BD28EF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37C44226"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7F2A752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ADD7911"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D7A4CA1" w14:textId="77777777" w:rsidR="005714A1" w:rsidRDefault="005714A1" w:rsidP="00D86880">
            <w:pPr>
              <w:spacing w:line="480" w:lineRule="auto"/>
              <w:jc w:val="center"/>
              <w:rPr>
                <w:rFonts w:ascii="Times New Roman" w:eastAsia="Times New Roman" w:hAnsi="Times New Roman" w:cs="Times New Roman"/>
                <w:sz w:val="60"/>
                <w:szCs w:val="60"/>
              </w:rPr>
            </w:pPr>
            <w:r>
              <w:rPr>
                <w:rFonts w:ascii="Times New Roman" w:eastAsia="Times New Roman" w:hAnsi="Times New Roman" w:cs="Times New Roman"/>
                <w:sz w:val="60"/>
                <w:szCs w:val="60"/>
              </w:rPr>
              <w:t>·</w:t>
            </w:r>
          </w:p>
        </w:tc>
        <w:tc>
          <w:tcPr>
            <w:tcW w:w="615" w:type="dxa"/>
            <w:tcBorders>
              <w:top w:val="nil"/>
              <w:left w:val="nil"/>
              <w:bottom w:val="single" w:sz="4" w:space="0" w:color="000000"/>
              <w:right w:val="single" w:sz="4" w:space="0" w:color="000000"/>
            </w:tcBorders>
            <w:vAlign w:val="center"/>
          </w:tcPr>
          <w:p w14:paraId="17DA92F5" w14:textId="77777777" w:rsidR="005714A1" w:rsidRDefault="005714A1" w:rsidP="00D86880">
            <w:pPr>
              <w:spacing w:line="480" w:lineRule="auto"/>
              <w:jc w:val="center"/>
              <w:rPr>
                <w:rFonts w:ascii="Times New Roman" w:eastAsia="Times New Roman" w:hAnsi="Times New Roman" w:cs="Times New Roman"/>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shd w:val="clear" w:color="auto" w:fill="AEAAAA"/>
            <w:vAlign w:val="center"/>
          </w:tcPr>
          <w:p w14:paraId="37448C02"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5BBBFBBF"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55B5B21E"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64B7521B"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403D0DFB" w14:textId="77777777" w:rsidR="005714A1" w:rsidRDefault="005714A1" w:rsidP="00D86880">
            <w:pPr>
              <w:spacing w:line="480" w:lineRule="auto"/>
              <w:rPr>
                <w:rFonts w:ascii="Times New Roman" w:eastAsia="Times New Roman" w:hAnsi="Times New Roman" w:cs="Times New Roman"/>
                <w:b/>
                <w:sz w:val="18"/>
                <w:szCs w:val="18"/>
              </w:rPr>
            </w:pPr>
          </w:p>
        </w:tc>
        <w:tc>
          <w:tcPr>
            <w:tcW w:w="4515" w:type="dxa"/>
            <w:tcBorders>
              <w:top w:val="nil"/>
              <w:left w:val="nil"/>
              <w:bottom w:val="single" w:sz="4" w:space="0" w:color="000000"/>
              <w:right w:val="single" w:sz="4" w:space="0" w:color="000000"/>
            </w:tcBorders>
            <w:vAlign w:val="center"/>
          </w:tcPr>
          <w:p w14:paraId="014E2F81" w14:textId="77777777" w:rsidR="005714A1" w:rsidRDefault="005714A1" w:rsidP="00D86880">
            <w:pPr>
              <w:widowControl w:val="0"/>
              <w:spacing w:line="48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highlight w:val="white"/>
              </w:rPr>
              <w:t>Ishizuka, P. (2021)</w:t>
            </w:r>
          </w:p>
        </w:tc>
        <w:tc>
          <w:tcPr>
            <w:tcW w:w="645" w:type="dxa"/>
            <w:tcBorders>
              <w:top w:val="nil"/>
              <w:left w:val="nil"/>
              <w:bottom w:val="single" w:sz="4" w:space="0" w:color="000000"/>
              <w:right w:val="single" w:sz="4" w:space="0" w:color="000000"/>
            </w:tcBorders>
            <w:vAlign w:val="center"/>
          </w:tcPr>
          <w:p w14:paraId="2F8108C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439CA5B"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814B5C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D8F462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C837C65"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6B47FEF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40C2BA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1F2B5CD"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77354C0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shd w:val="clear" w:color="auto" w:fill="AEAAAA"/>
            <w:vAlign w:val="center"/>
          </w:tcPr>
          <w:p w14:paraId="52B32247"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3D36E75E"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7E56D85D"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5D0373E"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67D5CC6B"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10101352" w14:textId="77777777" w:rsidR="005714A1" w:rsidRDefault="005714A1" w:rsidP="00D86880">
            <w:pPr>
              <w:widowControl w:val="0"/>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color w:val="222222"/>
                <w:sz w:val="18"/>
                <w:szCs w:val="18"/>
              </w:rPr>
              <w:t>Mari, G., &amp; Luijkx, R. (2020)</w:t>
            </w:r>
          </w:p>
        </w:tc>
        <w:tc>
          <w:tcPr>
            <w:tcW w:w="645" w:type="dxa"/>
            <w:tcBorders>
              <w:top w:val="nil"/>
              <w:left w:val="nil"/>
              <w:bottom w:val="single" w:sz="4" w:space="0" w:color="000000"/>
              <w:right w:val="single" w:sz="4" w:space="0" w:color="000000"/>
            </w:tcBorders>
            <w:vAlign w:val="center"/>
          </w:tcPr>
          <w:p w14:paraId="53C1DA3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4EDDA7B4"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45" w:type="dxa"/>
            <w:tcBorders>
              <w:top w:val="nil"/>
              <w:left w:val="nil"/>
              <w:bottom w:val="single" w:sz="4" w:space="0" w:color="000000"/>
              <w:right w:val="single" w:sz="4" w:space="0" w:color="000000"/>
            </w:tcBorders>
            <w:vAlign w:val="center"/>
          </w:tcPr>
          <w:p w14:paraId="28778CE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0D65D5C3"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16C64AC5"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502F327E"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DB0FE30"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4A145F4A"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15" w:type="dxa"/>
            <w:tcBorders>
              <w:top w:val="nil"/>
              <w:left w:val="nil"/>
              <w:bottom w:val="single" w:sz="4" w:space="0" w:color="000000"/>
              <w:right w:val="single" w:sz="4" w:space="0" w:color="000000"/>
            </w:tcBorders>
            <w:vAlign w:val="center"/>
          </w:tcPr>
          <w:p w14:paraId="0A986A49"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shd w:val="clear" w:color="auto" w:fill="AEAAAA"/>
            <w:vAlign w:val="center"/>
          </w:tcPr>
          <w:p w14:paraId="1432222D"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6255DFE7"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137B8CAB"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4E6D38AA"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1FE40511"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09A311DB"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Little, L. M., Major, V. S., Hinojosa, A. S., &amp; Nelson, D. L. (2015)</w:t>
            </w:r>
          </w:p>
        </w:tc>
        <w:tc>
          <w:tcPr>
            <w:tcW w:w="645" w:type="dxa"/>
            <w:tcBorders>
              <w:top w:val="nil"/>
              <w:left w:val="nil"/>
              <w:bottom w:val="single" w:sz="4" w:space="0" w:color="000000"/>
              <w:right w:val="single" w:sz="4" w:space="0" w:color="000000"/>
            </w:tcBorders>
            <w:vAlign w:val="center"/>
          </w:tcPr>
          <w:p w14:paraId="4FF0A645"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E27893E"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C000"/>
                <w:sz w:val="60"/>
                <w:szCs w:val="60"/>
              </w:rPr>
              <w:t>·</w:t>
            </w:r>
          </w:p>
        </w:tc>
        <w:tc>
          <w:tcPr>
            <w:tcW w:w="645" w:type="dxa"/>
            <w:tcBorders>
              <w:top w:val="nil"/>
              <w:left w:val="nil"/>
              <w:bottom w:val="single" w:sz="4" w:space="0" w:color="000000"/>
              <w:right w:val="single" w:sz="4" w:space="0" w:color="000000"/>
            </w:tcBorders>
            <w:vAlign w:val="center"/>
          </w:tcPr>
          <w:p w14:paraId="2DC90A1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14958DF2"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4873321D"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06565B08"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9EEE2E0" w14:textId="77777777" w:rsidR="005714A1" w:rsidRDefault="005714A1" w:rsidP="00D86880">
            <w:pPr>
              <w:spacing w:line="480" w:lineRule="auto"/>
              <w:jc w:val="center"/>
              <w:rPr>
                <w:rFonts w:ascii="Times New Roman" w:eastAsia="Times New Roman" w:hAnsi="Times New Roman" w:cs="Times New Roman"/>
                <w:color w:val="FFC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C828238" w14:textId="77777777" w:rsidR="005714A1" w:rsidRDefault="005714A1" w:rsidP="00D86880">
            <w:pPr>
              <w:spacing w:line="480" w:lineRule="auto"/>
              <w:jc w:val="center"/>
              <w:rPr>
                <w:rFonts w:ascii="Times New Roman" w:eastAsia="Times New Roman" w:hAnsi="Times New Roman" w:cs="Times New Roman"/>
                <w:sz w:val="60"/>
                <w:szCs w:val="60"/>
              </w:rPr>
            </w:pPr>
            <w:r>
              <w:rPr>
                <w:rFonts w:ascii="Times New Roman" w:eastAsia="Times New Roman" w:hAnsi="Times New Roman" w:cs="Times New Roman"/>
                <w:sz w:val="60"/>
                <w:szCs w:val="60"/>
              </w:rPr>
              <w:t>·</w:t>
            </w:r>
          </w:p>
        </w:tc>
        <w:tc>
          <w:tcPr>
            <w:tcW w:w="615" w:type="dxa"/>
            <w:tcBorders>
              <w:top w:val="nil"/>
              <w:left w:val="nil"/>
              <w:bottom w:val="single" w:sz="4" w:space="0" w:color="000000"/>
              <w:right w:val="single" w:sz="4" w:space="0" w:color="000000"/>
            </w:tcBorders>
            <w:vAlign w:val="center"/>
          </w:tcPr>
          <w:p w14:paraId="55CA65D3" w14:textId="77777777" w:rsidR="005714A1" w:rsidRDefault="005714A1" w:rsidP="00D86880">
            <w:pPr>
              <w:spacing w:line="480" w:lineRule="auto"/>
              <w:jc w:val="center"/>
              <w:rPr>
                <w:rFonts w:ascii="Times New Roman" w:eastAsia="Times New Roman" w:hAnsi="Times New Roman" w:cs="Times New Roman"/>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shd w:val="clear" w:color="auto" w:fill="AEAAAA"/>
            <w:vAlign w:val="center"/>
          </w:tcPr>
          <w:p w14:paraId="50B1346E"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39354590"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4BBA8AD7"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2E9E7681"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4F23B470" w14:textId="77777777" w:rsidR="005714A1" w:rsidRDefault="005714A1" w:rsidP="00D86880">
            <w:pPr>
              <w:spacing w:line="480" w:lineRule="auto"/>
              <w:rPr>
                <w:rFonts w:ascii="Times New Roman" w:eastAsia="Times New Roman" w:hAnsi="Times New Roman" w:cs="Times New Roman"/>
                <w:sz w:val="18"/>
                <w:szCs w:val="18"/>
              </w:rPr>
            </w:pPr>
          </w:p>
        </w:tc>
        <w:tc>
          <w:tcPr>
            <w:tcW w:w="4515" w:type="dxa"/>
            <w:tcBorders>
              <w:top w:val="nil"/>
              <w:left w:val="nil"/>
              <w:bottom w:val="single" w:sz="4" w:space="0" w:color="000000"/>
              <w:right w:val="single" w:sz="4" w:space="0" w:color="000000"/>
            </w:tcBorders>
            <w:vAlign w:val="center"/>
          </w:tcPr>
          <w:p w14:paraId="27CE0EFF" w14:textId="77777777" w:rsidR="005714A1" w:rsidRDefault="005714A1" w:rsidP="00D86880">
            <w:pPr>
              <w:widowControl w:val="0"/>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color w:val="222222"/>
                <w:sz w:val="18"/>
                <w:szCs w:val="18"/>
                <w:highlight w:val="white"/>
              </w:rPr>
              <w:t>Morgan, W. B., Walker, S. S., Hebl, M. M. R., &amp; King, E. B. (2013)</w:t>
            </w:r>
          </w:p>
        </w:tc>
        <w:tc>
          <w:tcPr>
            <w:tcW w:w="645" w:type="dxa"/>
            <w:tcBorders>
              <w:top w:val="nil"/>
              <w:left w:val="nil"/>
              <w:bottom w:val="single" w:sz="4" w:space="0" w:color="000000"/>
              <w:right w:val="single" w:sz="4" w:space="0" w:color="000000"/>
            </w:tcBorders>
            <w:vAlign w:val="center"/>
          </w:tcPr>
          <w:p w14:paraId="27220C1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60371583"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3C413B26"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2D87049C"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FC8AC6A"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0000"/>
                <w:sz w:val="60"/>
                <w:szCs w:val="60"/>
              </w:rPr>
              <w:t>·</w:t>
            </w:r>
          </w:p>
        </w:tc>
        <w:tc>
          <w:tcPr>
            <w:tcW w:w="600" w:type="dxa"/>
            <w:tcBorders>
              <w:top w:val="nil"/>
              <w:left w:val="nil"/>
              <w:bottom w:val="single" w:sz="4" w:space="0" w:color="000000"/>
              <w:right w:val="single" w:sz="4" w:space="0" w:color="000000"/>
            </w:tcBorders>
            <w:vAlign w:val="center"/>
          </w:tcPr>
          <w:p w14:paraId="408B2CE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3645B3CB"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2B0F367C"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FFC000"/>
                <w:sz w:val="60"/>
                <w:szCs w:val="60"/>
              </w:rPr>
              <w:t>·</w:t>
            </w:r>
          </w:p>
        </w:tc>
        <w:tc>
          <w:tcPr>
            <w:tcW w:w="615" w:type="dxa"/>
            <w:tcBorders>
              <w:top w:val="nil"/>
              <w:left w:val="nil"/>
              <w:bottom w:val="single" w:sz="4" w:space="0" w:color="000000"/>
              <w:right w:val="single" w:sz="4" w:space="0" w:color="000000"/>
            </w:tcBorders>
            <w:vAlign w:val="center"/>
          </w:tcPr>
          <w:p w14:paraId="01A9EE5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90" w:type="dxa"/>
            <w:tcBorders>
              <w:top w:val="nil"/>
              <w:left w:val="nil"/>
              <w:bottom w:val="single" w:sz="4" w:space="0" w:color="000000"/>
              <w:right w:val="single" w:sz="4" w:space="0" w:color="000000"/>
            </w:tcBorders>
            <w:shd w:val="clear" w:color="auto" w:fill="AEAAAA"/>
            <w:vAlign w:val="center"/>
          </w:tcPr>
          <w:p w14:paraId="6F2866E6"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7C007EB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3A0A0CEB"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13448E1C" w14:textId="77777777" w:rsidTr="00D86880">
        <w:trPr>
          <w:trHeight w:val="680"/>
        </w:trPr>
        <w:tc>
          <w:tcPr>
            <w:tcW w:w="1185" w:type="dxa"/>
            <w:tcBorders>
              <w:top w:val="nil"/>
              <w:left w:val="single" w:sz="4" w:space="0" w:color="000000"/>
              <w:bottom w:val="single" w:sz="4" w:space="0" w:color="000000"/>
              <w:right w:val="single" w:sz="4" w:space="0" w:color="000000"/>
            </w:tcBorders>
            <w:vAlign w:val="center"/>
          </w:tcPr>
          <w:p w14:paraId="1034F242" w14:textId="77777777" w:rsidR="005714A1" w:rsidRDefault="005714A1" w:rsidP="00D86880">
            <w:pPr>
              <w:spacing w:line="480" w:lineRule="auto"/>
              <w:rPr>
                <w:rFonts w:ascii="Times New Roman" w:eastAsia="Times New Roman" w:hAnsi="Times New Roman" w:cs="Times New Roman"/>
                <w:b/>
                <w:color w:val="0E0E0E"/>
                <w:sz w:val="18"/>
                <w:szCs w:val="18"/>
              </w:rPr>
            </w:pPr>
            <w:r>
              <w:rPr>
                <w:rFonts w:ascii="Times New Roman" w:eastAsia="Times New Roman" w:hAnsi="Times New Roman" w:cs="Times New Roman"/>
                <w:b/>
                <w:color w:val="0E0E0E"/>
                <w:sz w:val="18"/>
                <w:szCs w:val="18"/>
              </w:rPr>
              <w:lastRenderedPageBreak/>
              <w:t>Textual Evidence: Expert Opinion</w:t>
            </w:r>
          </w:p>
        </w:tc>
        <w:tc>
          <w:tcPr>
            <w:tcW w:w="4515" w:type="dxa"/>
            <w:tcBorders>
              <w:top w:val="nil"/>
              <w:left w:val="nil"/>
              <w:bottom w:val="single" w:sz="4" w:space="0" w:color="000000"/>
              <w:right w:val="single" w:sz="4" w:space="0" w:color="000000"/>
            </w:tcBorders>
            <w:vAlign w:val="center"/>
          </w:tcPr>
          <w:p w14:paraId="5A3E74B7" w14:textId="77777777" w:rsidR="005714A1" w:rsidRDefault="005714A1" w:rsidP="00D86880">
            <w:pPr>
              <w:widowControl w:val="0"/>
              <w:spacing w:line="480" w:lineRule="auto"/>
              <w:rPr>
                <w:rFonts w:ascii="Times New Roman" w:eastAsia="Times New Roman" w:hAnsi="Times New Roman" w:cs="Times New Roman"/>
                <w:color w:val="222222"/>
                <w:sz w:val="18"/>
                <w:szCs w:val="18"/>
                <w:highlight w:val="white"/>
              </w:rPr>
            </w:pPr>
            <w:r>
              <w:rPr>
                <w:rFonts w:ascii="Times New Roman" w:eastAsia="Times New Roman" w:hAnsi="Times New Roman" w:cs="Times New Roman"/>
                <w:sz w:val="18"/>
                <w:szCs w:val="18"/>
              </w:rPr>
              <w:t>Whitley, M., &amp; Banks, A. (2022)</w:t>
            </w:r>
          </w:p>
        </w:tc>
        <w:tc>
          <w:tcPr>
            <w:tcW w:w="645" w:type="dxa"/>
            <w:tcBorders>
              <w:top w:val="nil"/>
              <w:left w:val="nil"/>
              <w:bottom w:val="single" w:sz="4" w:space="0" w:color="000000"/>
              <w:right w:val="single" w:sz="4" w:space="0" w:color="000000"/>
            </w:tcBorders>
            <w:vAlign w:val="center"/>
          </w:tcPr>
          <w:p w14:paraId="291066CD"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75448389"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45" w:type="dxa"/>
            <w:tcBorders>
              <w:top w:val="nil"/>
              <w:left w:val="nil"/>
              <w:bottom w:val="single" w:sz="4" w:space="0" w:color="000000"/>
              <w:right w:val="single" w:sz="4" w:space="0" w:color="000000"/>
            </w:tcBorders>
            <w:vAlign w:val="center"/>
          </w:tcPr>
          <w:p w14:paraId="60772065"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30" w:type="dxa"/>
            <w:tcBorders>
              <w:top w:val="nil"/>
              <w:left w:val="nil"/>
              <w:bottom w:val="single" w:sz="4" w:space="0" w:color="000000"/>
              <w:right w:val="single" w:sz="4" w:space="0" w:color="000000"/>
            </w:tcBorders>
            <w:vAlign w:val="center"/>
          </w:tcPr>
          <w:p w14:paraId="5522A5D2"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15" w:type="dxa"/>
            <w:tcBorders>
              <w:top w:val="nil"/>
              <w:left w:val="nil"/>
              <w:bottom w:val="single" w:sz="4" w:space="0" w:color="000000"/>
              <w:right w:val="single" w:sz="4" w:space="0" w:color="000000"/>
            </w:tcBorders>
            <w:vAlign w:val="center"/>
          </w:tcPr>
          <w:p w14:paraId="2D404F0B" w14:textId="77777777" w:rsidR="005714A1" w:rsidRDefault="005714A1" w:rsidP="00D86880">
            <w:pPr>
              <w:spacing w:line="480" w:lineRule="auto"/>
              <w:jc w:val="center"/>
              <w:rPr>
                <w:rFonts w:ascii="Times New Roman" w:eastAsia="Times New Roman" w:hAnsi="Times New Roman" w:cs="Times New Roman"/>
                <w:color w:val="FF0000"/>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vAlign w:val="center"/>
          </w:tcPr>
          <w:p w14:paraId="1725261A" w14:textId="77777777" w:rsidR="005714A1" w:rsidRDefault="005714A1" w:rsidP="00D86880">
            <w:pPr>
              <w:spacing w:line="480" w:lineRule="auto"/>
              <w:jc w:val="center"/>
              <w:rPr>
                <w:rFonts w:ascii="Times New Roman" w:eastAsia="Times New Roman" w:hAnsi="Times New Roman" w:cs="Times New Roman"/>
                <w:color w:val="70AD47"/>
                <w:sz w:val="60"/>
                <w:szCs w:val="60"/>
              </w:rPr>
            </w:pPr>
            <w:r>
              <w:rPr>
                <w:rFonts w:ascii="Times New Roman" w:eastAsia="Times New Roman" w:hAnsi="Times New Roman" w:cs="Times New Roman"/>
                <w:color w:val="70AD47"/>
                <w:sz w:val="60"/>
                <w:szCs w:val="60"/>
              </w:rPr>
              <w:t>·</w:t>
            </w:r>
          </w:p>
        </w:tc>
        <w:tc>
          <w:tcPr>
            <w:tcW w:w="600" w:type="dxa"/>
            <w:tcBorders>
              <w:top w:val="nil"/>
              <w:left w:val="nil"/>
              <w:bottom w:val="single" w:sz="4" w:space="0" w:color="000000"/>
              <w:right w:val="single" w:sz="4" w:space="0" w:color="000000"/>
            </w:tcBorders>
            <w:shd w:val="clear" w:color="auto" w:fill="AEAAAA"/>
            <w:vAlign w:val="center"/>
          </w:tcPr>
          <w:p w14:paraId="07336367" w14:textId="77777777" w:rsidR="005714A1" w:rsidRDefault="005714A1" w:rsidP="00D86880">
            <w:pPr>
              <w:spacing w:line="480" w:lineRule="auto"/>
              <w:rPr>
                <w:rFonts w:ascii="Times New Roman" w:eastAsia="Times New Roman" w:hAnsi="Times New Roman" w:cs="Times New Roman"/>
                <w:sz w:val="16"/>
                <w:szCs w:val="16"/>
              </w:rPr>
            </w:pPr>
          </w:p>
        </w:tc>
        <w:tc>
          <w:tcPr>
            <w:tcW w:w="600" w:type="dxa"/>
            <w:tcBorders>
              <w:top w:val="nil"/>
              <w:left w:val="nil"/>
              <w:bottom w:val="single" w:sz="4" w:space="0" w:color="000000"/>
              <w:right w:val="single" w:sz="4" w:space="0" w:color="000000"/>
            </w:tcBorders>
            <w:shd w:val="clear" w:color="auto" w:fill="AEAAAA"/>
            <w:vAlign w:val="center"/>
          </w:tcPr>
          <w:p w14:paraId="5979237C" w14:textId="77777777" w:rsidR="005714A1" w:rsidRDefault="005714A1" w:rsidP="00D86880">
            <w:pPr>
              <w:spacing w:line="480" w:lineRule="auto"/>
              <w:rPr>
                <w:rFonts w:ascii="Times New Roman" w:eastAsia="Times New Roman" w:hAnsi="Times New Roman" w:cs="Times New Roman"/>
                <w:sz w:val="16"/>
                <w:szCs w:val="16"/>
              </w:rPr>
            </w:pPr>
          </w:p>
        </w:tc>
        <w:tc>
          <w:tcPr>
            <w:tcW w:w="615" w:type="dxa"/>
            <w:tcBorders>
              <w:top w:val="nil"/>
              <w:left w:val="nil"/>
              <w:bottom w:val="single" w:sz="4" w:space="0" w:color="000000"/>
              <w:right w:val="single" w:sz="4" w:space="0" w:color="000000"/>
            </w:tcBorders>
            <w:shd w:val="clear" w:color="auto" w:fill="AEAAAA"/>
            <w:vAlign w:val="center"/>
          </w:tcPr>
          <w:p w14:paraId="17532750" w14:textId="77777777" w:rsidR="005714A1" w:rsidRDefault="005714A1" w:rsidP="00D86880">
            <w:pPr>
              <w:spacing w:line="480" w:lineRule="auto"/>
              <w:rPr>
                <w:rFonts w:ascii="Times New Roman" w:eastAsia="Times New Roman" w:hAnsi="Times New Roman" w:cs="Times New Roman"/>
                <w:sz w:val="16"/>
                <w:szCs w:val="16"/>
              </w:rPr>
            </w:pPr>
          </w:p>
        </w:tc>
        <w:tc>
          <w:tcPr>
            <w:tcW w:w="690" w:type="dxa"/>
            <w:tcBorders>
              <w:top w:val="nil"/>
              <w:left w:val="nil"/>
              <w:bottom w:val="single" w:sz="4" w:space="0" w:color="000000"/>
              <w:right w:val="single" w:sz="4" w:space="0" w:color="000000"/>
            </w:tcBorders>
            <w:shd w:val="clear" w:color="auto" w:fill="AEAAAA"/>
            <w:vAlign w:val="center"/>
          </w:tcPr>
          <w:p w14:paraId="6C17E4AD" w14:textId="77777777" w:rsidR="005714A1" w:rsidRDefault="005714A1" w:rsidP="00D86880">
            <w:pPr>
              <w:spacing w:line="480" w:lineRule="auto"/>
              <w:rPr>
                <w:rFonts w:ascii="Times New Roman" w:eastAsia="Times New Roman" w:hAnsi="Times New Roman" w:cs="Times New Roman"/>
                <w:sz w:val="16"/>
                <w:szCs w:val="16"/>
              </w:rPr>
            </w:pPr>
          </w:p>
        </w:tc>
        <w:tc>
          <w:tcPr>
            <w:tcW w:w="675" w:type="dxa"/>
            <w:tcBorders>
              <w:top w:val="nil"/>
              <w:left w:val="nil"/>
              <w:bottom w:val="single" w:sz="4" w:space="0" w:color="000000"/>
              <w:right w:val="single" w:sz="4" w:space="0" w:color="000000"/>
            </w:tcBorders>
            <w:shd w:val="clear" w:color="auto" w:fill="AEAAAA"/>
            <w:vAlign w:val="center"/>
          </w:tcPr>
          <w:p w14:paraId="6BACBF06" w14:textId="77777777" w:rsidR="005714A1" w:rsidRDefault="005714A1" w:rsidP="00D86880">
            <w:pPr>
              <w:spacing w:line="480" w:lineRule="auto"/>
              <w:rPr>
                <w:rFonts w:ascii="Times New Roman" w:eastAsia="Times New Roman" w:hAnsi="Times New Roman" w:cs="Times New Roman"/>
                <w:sz w:val="16"/>
                <w:szCs w:val="16"/>
              </w:rPr>
            </w:pPr>
          </w:p>
        </w:tc>
        <w:tc>
          <w:tcPr>
            <w:tcW w:w="765" w:type="dxa"/>
            <w:tcBorders>
              <w:top w:val="nil"/>
              <w:left w:val="nil"/>
              <w:bottom w:val="single" w:sz="4" w:space="0" w:color="000000"/>
              <w:right w:val="single" w:sz="4" w:space="0" w:color="000000"/>
            </w:tcBorders>
            <w:vAlign w:val="center"/>
          </w:tcPr>
          <w:p w14:paraId="5D2944E3" w14:textId="77777777" w:rsidR="005714A1" w:rsidRDefault="005714A1" w:rsidP="00D86880">
            <w:pPr>
              <w:spacing w:line="48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w:t>
            </w:r>
          </w:p>
        </w:tc>
      </w:tr>
      <w:tr w:rsidR="005714A1" w14:paraId="02479CCD" w14:textId="77777777" w:rsidTr="00D86880">
        <w:trPr>
          <w:trHeight w:val="704"/>
        </w:trPr>
        <w:tc>
          <w:tcPr>
            <w:tcW w:w="1185" w:type="dxa"/>
            <w:tcBorders>
              <w:top w:val="nil"/>
              <w:left w:val="nil"/>
              <w:bottom w:val="nil"/>
              <w:right w:val="nil"/>
            </w:tcBorders>
            <w:vAlign w:val="center"/>
          </w:tcPr>
          <w:p w14:paraId="480C9340" w14:textId="77777777" w:rsidR="005714A1" w:rsidRDefault="005714A1" w:rsidP="00D86880">
            <w:pPr>
              <w:spacing w:line="480" w:lineRule="auto"/>
              <w:rPr>
                <w:rFonts w:ascii="Times New Roman" w:eastAsia="Times New Roman" w:hAnsi="Times New Roman" w:cs="Times New Roman"/>
                <w:i/>
                <w:sz w:val="18"/>
                <w:szCs w:val="18"/>
              </w:rPr>
            </w:pPr>
          </w:p>
        </w:tc>
        <w:tc>
          <w:tcPr>
            <w:tcW w:w="4515" w:type="dxa"/>
            <w:tcBorders>
              <w:top w:val="nil"/>
              <w:left w:val="nil"/>
              <w:bottom w:val="nil"/>
              <w:right w:val="nil"/>
            </w:tcBorders>
            <w:vAlign w:val="center"/>
          </w:tcPr>
          <w:p w14:paraId="2579D83E" w14:textId="77777777" w:rsidR="005714A1" w:rsidRDefault="005714A1" w:rsidP="00D86880">
            <w:pPr>
              <w:spacing w:line="480" w:lineRule="auto"/>
              <w:rPr>
                <w:rFonts w:ascii="Times New Roman" w:eastAsia="Times New Roman" w:hAnsi="Times New Roman" w:cs="Times New Roman"/>
                <w:sz w:val="30"/>
                <w:szCs w:val="30"/>
              </w:rPr>
            </w:pPr>
            <w:r>
              <w:rPr>
                <w:rFonts w:ascii="Times New Roman" w:eastAsia="Times New Roman" w:hAnsi="Times New Roman" w:cs="Times New Roman"/>
                <w:i/>
                <w:sz w:val="18"/>
                <w:szCs w:val="18"/>
              </w:rPr>
              <w:t>Colour code: Yes=</w:t>
            </w:r>
            <w:r>
              <w:rPr>
                <w:rFonts w:ascii="Times New Roman" w:eastAsia="Times New Roman" w:hAnsi="Times New Roman" w:cs="Times New Roman"/>
                <w:i/>
                <w:color w:val="70AD47"/>
                <w:sz w:val="30"/>
                <w:szCs w:val="30"/>
              </w:rPr>
              <w:t>·</w:t>
            </w:r>
            <w:r>
              <w:rPr>
                <w:rFonts w:ascii="Times New Roman" w:eastAsia="Times New Roman" w:hAnsi="Times New Roman" w:cs="Times New Roman"/>
                <w:i/>
                <w:sz w:val="18"/>
                <w:szCs w:val="18"/>
              </w:rPr>
              <w:t>; No=</w:t>
            </w:r>
            <w:r>
              <w:rPr>
                <w:rFonts w:ascii="Times New Roman" w:eastAsia="Times New Roman" w:hAnsi="Times New Roman" w:cs="Times New Roman"/>
                <w:i/>
                <w:color w:val="FF0000"/>
                <w:sz w:val="30"/>
                <w:szCs w:val="30"/>
              </w:rPr>
              <w:t>·</w:t>
            </w:r>
            <w:r>
              <w:rPr>
                <w:rFonts w:ascii="Times New Roman" w:eastAsia="Times New Roman" w:hAnsi="Times New Roman" w:cs="Times New Roman"/>
                <w:i/>
                <w:sz w:val="18"/>
                <w:szCs w:val="18"/>
              </w:rPr>
              <w:t>;</w:t>
            </w:r>
            <w:r>
              <w:rPr>
                <w:rFonts w:ascii="Times New Roman" w:eastAsia="Times New Roman" w:hAnsi="Times New Roman" w:cs="Times New Roman"/>
                <w:i/>
                <w:color w:val="FF0000"/>
                <w:sz w:val="18"/>
                <w:szCs w:val="18"/>
              </w:rPr>
              <w:t xml:space="preserve"> </w:t>
            </w:r>
            <w:r>
              <w:rPr>
                <w:rFonts w:ascii="Times New Roman" w:eastAsia="Times New Roman" w:hAnsi="Times New Roman" w:cs="Times New Roman"/>
                <w:i/>
                <w:sz w:val="18"/>
                <w:szCs w:val="18"/>
              </w:rPr>
              <w:t>Unclear=</w:t>
            </w:r>
            <w:r>
              <w:rPr>
                <w:rFonts w:ascii="Times New Roman" w:eastAsia="Times New Roman" w:hAnsi="Times New Roman" w:cs="Times New Roman"/>
                <w:i/>
                <w:color w:val="FFC000"/>
                <w:sz w:val="30"/>
                <w:szCs w:val="30"/>
              </w:rPr>
              <w:t>·</w:t>
            </w:r>
            <w:r>
              <w:rPr>
                <w:rFonts w:ascii="Times New Roman" w:eastAsia="Times New Roman" w:hAnsi="Times New Roman" w:cs="Times New Roman"/>
                <w:i/>
                <w:sz w:val="18"/>
                <w:szCs w:val="18"/>
              </w:rPr>
              <w:t>; Not applicable=</w:t>
            </w:r>
            <w:r>
              <w:rPr>
                <w:rFonts w:ascii="Times New Roman" w:eastAsia="Times New Roman" w:hAnsi="Times New Roman" w:cs="Times New Roman"/>
                <w:i/>
                <w:sz w:val="30"/>
                <w:szCs w:val="30"/>
              </w:rPr>
              <w:t>·</w:t>
            </w:r>
          </w:p>
        </w:tc>
        <w:tc>
          <w:tcPr>
            <w:tcW w:w="645" w:type="dxa"/>
            <w:tcBorders>
              <w:top w:val="nil"/>
              <w:left w:val="nil"/>
              <w:bottom w:val="nil"/>
              <w:right w:val="nil"/>
            </w:tcBorders>
            <w:vAlign w:val="center"/>
          </w:tcPr>
          <w:p w14:paraId="4E697BC5"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3FBE05B7"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center"/>
          </w:tcPr>
          <w:p w14:paraId="77EE0C74"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0260A938"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center"/>
          </w:tcPr>
          <w:p w14:paraId="51486C2F"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626B32AC"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4583DB0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6E76A6FB"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center"/>
          </w:tcPr>
          <w:p w14:paraId="58F0ECA9"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center"/>
          </w:tcPr>
          <w:p w14:paraId="2DB3E471" w14:textId="77777777" w:rsidR="005714A1" w:rsidRDefault="005714A1" w:rsidP="00D86880">
            <w:pPr>
              <w:spacing w:line="480" w:lineRule="auto"/>
              <w:rPr>
                <w:rFonts w:ascii="Times New Roman" w:eastAsia="Times New Roman" w:hAnsi="Times New Roman" w:cs="Times New Roman"/>
                <w:color w:val="70AD47"/>
                <w:sz w:val="60"/>
                <w:szCs w:val="60"/>
              </w:rPr>
            </w:pPr>
          </w:p>
        </w:tc>
        <w:tc>
          <w:tcPr>
            <w:tcW w:w="675" w:type="dxa"/>
            <w:tcBorders>
              <w:top w:val="nil"/>
              <w:left w:val="nil"/>
              <w:bottom w:val="nil"/>
              <w:right w:val="nil"/>
            </w:tcBorders>
            <w:vAlign w:val="center"/>
          </w:tcPr>
          <w:p w14:paraId="694F7CBE"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center"/>
          </w:tcPr>
          <w:p w14:paraId="29717FFC"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07047020" w14:textId="77777777" w:rsidTr="00D86880">
        <w:trPr>
          <w:trHeight w:val="660"/>
        </w:trPr>
        <w:tc>
          <w:tcPr>
            <w:tcW w:w="1185" w:type="dxa"/>
            <w:tcBorders>
              <w:top w:val="nil"/>
              <w:left w:val="nil"/>
              <w:bottom w:val="nil"/>
              <w:right w:val="nil"/>
            </w:tcBorders>
            <w:vAlign w:val="center"/>
          </w:tcPr>
          <w:p w14:paraId="10570512" w14:textId="77777777" w:rsidR="005714A1" w:rsidRDefault="005714A1" w:rsidP="00D86880">
            <w:pPr>
              <w:spacing w:line="48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Cross sectional</w:t>
            </w:r>
          </w:p>
        </w:tc>
        <w:tc>
          <w:tcPr>
            <w:tcW w:w="4515" w:type="dxa"/>
            <w:tcBorders>
              <w:top w:val="nil"/>
              <w:left w:val="nil"/>
              <w:bottom w:val="nil"/>
              <w:right w:val="nil"/>
            </w:tcBorders>
            <w:vAlign w:val="center"/>
          </w:tcPr>
          <w:p w14:paraId="756A378A" w14:textId="77777777" w:rsidR="005714A1" w:rsidRDefault="005714A1" w:rsidP="00D86880">
            <w:pPr>
              <w:spacing w:line="480" w:lineRule="auto"/>
              <w:rPr>
                <w:rFonts w:ascii="Times New Roman" w:eastAsia="Times New Roman" w:hAnsi="Times New Roman" w:cs="Times New Roman"/>
                <w:i/>
                <w:sz w:val="18"/>
                <w:szCs w:val="18"/>
              </w:rPr>
            </w:pPr>
          </w:p>
        </w:tc>
        <w:tc>
          <w:tcPr>
            <w:tcW w:w="645" w:type="dxa"/>
            <w:tcBorders>
              <w:top w:val="nil"/>
              <w:left w:val="nil"/>
              <w:bottom w:val="nil"/>
              <w:right w:val="nil"/>
            </w:tcBorders>
            <w:vAlign w:val="center"/>
          </w:tcPr>
          <w:p w14:paraId="06E19C3A"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1833108C"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center"/>
          </w:tcPr>
          <w:p w14:paraId="7A0E9C87"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1D97E6CC"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center"/>
          </w:tcPr>
          <w:p w14:paraId="677DEE6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653004DD"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7E37808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3249B61F"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center"/>
          </w:tcPr>
          <w:p w14:paraId="50DC9469"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center"/>
          </w:tcPr>
          <w:p w14:paraId="39364F1F"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center"/>
          </w:tcPr>
          <w:p w14:paraId="73861CF8"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center"/>
          </w:tcPr>
          <w:p w14:paraId="7B124595"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3869B06E" w14:textId="77777777" w:rsidTr="00D86880">
        <w:trPr>
          <w:trHeight w:val="540"/>
        </w:trPr>
        <w:tc>
          <w:tcPr>
            <w:tcW w:w="1185" w:type="dxa"/>
            <w:tcBorders>
              <w:top w:val="nil"/>
              <w:left w:val="nil"/>
              <w:bottom w:val="nil"/>
              <w:right w:val="nil"/>
            </w:tcBorders>
            <w:vAlign w:val="center"/>
          </w:tcPr>
          <w:p w14:paraId="504E2D01"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Q1</w:t>
            </w:r>
          </w:p>
        </w:tc>
        <w:tc>
          <w:tcPr>
            <w:tcW w:w="4515" w:type="dxa"/>
            <w:tcBorders>
              <w:top w:val="nil"/>
              <w:left w:val="nil"/>
              <w:bottom w:val="nil"/>
              <w:right w:val="nil"/>
            </w:tcBorders>
            <w:vAlign w:val="center"/>
          </w:tcPr>
          <w:p w14:paraId="62214DBD"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the criteria for inclusion in the sample clearly defined?</w:t>
            </w:r>
          </w:p>
        </w:tc>
        <w:tc>
          <w:tcPr>
            <w:tcW w:w="645" w:type="dxa"/>
            <w:tcBorders>
              <w:top w:val="nil"/>
              <w:left w:val="nil"/>
              <w:bottom w:val="nil"/>
              <w:right w:val="nil"/>
            </w:tcBorders>
            <w:vAlign w:val="bottom"/>
          </w:tcPr>
          <w:p w14:paraId="32B0255A"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center"/>
          </w:tcPr>
          <w:p w14:paraId="2A95B16F"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4BC4AA98"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52D156B2"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43F7BD76"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122C26B2"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42D5317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7D66710"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473C8E54"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792D0B39"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50147A53"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3CA59C4B"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2A9CAF1B" w14:textId="77777777" w:rsidTr="00D86880">
        <w:trPr>
          <w:trHeight w:val="520"/>
        </w:trPr>
        <w:tc>
          <w:tcPr>
            <w:tcW w:w="1185" w:type="dxa"/>
            <w:tcBorders>
              <w:top w:val="nil"/>
              <w:left w:val="nil"/>
              <w:bottom w:val="nil"/>
              <w:right w:val="nil"/>
            </w:tcBorders>
            <w:vAlign w:val="center"/>
          </w:tcPr>
          <w:p w14:paraId="49A234DE"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Q2</w:t>
            </w:r>
          </w:p>
        </w:tc>
        <w:tc>
          <w:tcPr>
            <w:tcW w:w="4515" w:type="dxa"/>
            <w:tcBorders>
              <w:top w:val="nil"/>
              <w:left w:val="nil"/>
              <w:bottom w:val="nil"/>
              <w:right w:val="nil"/>
            </w:tcBorders>
            <w:vAlign w:val="center"/>
          </w:tcPr>
          <w:p w14:paraId="6ED2F85F"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the study subjects and the setting described in detail?</w:t>
            </w:r>
          </w:p>
        </w:tc>
        <w:tc>
          <w:tcPr>
            <w:tcW w:w="645" w:type="dxa"/>
            <w:tcBorders>
              <w:top w:val="nil"/>
              <w:left w:val="nil"/>
              <w:bottom w:val="nil"/>
              <w:right w:val="nil"/>
            </w:tcBorders>
            <w:vAlign w:val="bottom"/>
          </w:tcPr>
          <w:p w14:paraId="2E8F388B"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center"/>
          </w:tcPr>
          <w:p w14:paraId="4778F2DB"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0609848B"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362E78D3"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2FDE169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61458F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5A606F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4D655EA2"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44EC5C32"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3A99C0DB"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37887178"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0875CF41"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34F48A18" w14:textId="77777777" w:rsidTr="00D86880">
        <w:trPr>
          <w:trHeight w:val="320"/>
        </w:trPr>
        <w:tc>
          <w:tcPr>
            <w:tcW w:w="1185" w:type="dxa"/>
            <w:tcBorders>
              <w:top w:val="nil"/>
              <w:left w:val="nil"/>
              <w:bottom w:val="nil"/>
              <w:right w:val="nil"/>
            </w:tcBorders>
            <w:vAlign w:val="center"/>
          </w:tcPr>
          <w:p w14:paraId="57F66504"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Q3</w:t>
            </w:r>
          </w:p>
        </w:tc>
        <w:tc>
          <w:tcPr>
            <w:tcW w:w="4515" w:type="dxa"/>
            <w:tcBorders>
              <w:top w:val="nil"/>
              <w:left w:val="nil"/>
              <w:bottom w:val="nil"/>
              <w:right w:val="nil"/>
            </w:tcBorders>
            <w:vAlign w:val="center"/>
          </w:tcPr>
          <w:p w14:paraId="228E2BDD"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Was the exposure measured in a valid and reliable way?</w:t>
            </w:r>
          </w:p>
        </w:tc>
        <w:tc>
          <w:tcPr>
            <w:tcW w:w="645" w:type="dxa"/>
            <w:tcBorders>
              <w:top w:val="nil"/>
              <w:left w:val="nil"/>
              <w:bottom w:val="nil"/>
              <w:right w:val="nil"/>
            </w:tcBorders>
            <w:vAlign w:val="bottom"/>
          </w:tcPr>
          <w:p w14:paraId="433575DB"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center"/>
          </w:tcPr>
          <w:p w14:paraId="74F731B7"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4A3B2D8B"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5B4F1545"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03EFE7DD"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259EBD1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5C7D5F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E69608A"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5BA98438"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11423C60"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3512F529"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3353E7E8"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3443F90C" w14:textId="77777777" w:rsidTr="00D86880">
        <w:trPr>
          <w:trHeight w:val="520"/>
        </w:trPr>
        <w:tc>
          <w:tcPr>
            <w:tcW w:w="1185" w:type="dxa"/>
            <w:tcBorders>
              <w:top w:val="nil"/>
              <w:left w:val="nil"/>
              <w:bottom w:val="nil"/>
              <w:right w:val="nil"/>
            </w:tcBorders>
            <w:vAlign w:val="center"/>
          </w:tcPr>
          <w:p w14:paraId="24629A41"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Q4</w:t>
            </w:r>
          </w:p>
        </w:tc>
        <w:tc>
          <w:tcPr>
            <w:tcW w:w="4515" w:type="dxa"/>
            <w:tcBorders>
              <w:top w:val="nil"/>
              <w:left w:val="nil"/>
              <w:bottom w:val="nil"/>
              <w:right w:val="nil"/>
            </w:tcBorders>
            <w:vAlign w:val="center"/>
          </w:tcPr>
          <w:p w14:paraId="75C479CA"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objective, standard criteria used for measurement of the condition?</w:t>
            </w:r>
          </w:p>
        </w:tc>
        <w:tc>
          <w:tcPr>
            <w:tcW w:w="645" w:type="dxa"/>
            <w:tcBorders>
              <w:top w:val="nil"/>
              <w:left w:val="nil"/>
              <w:bottom w:val="nil"/>
              <w:right w:val="nil"/>
            </w:tcBorders>
            <w:vAlign w:val="bottom"/>
          </w:tcPr>
          <w:p w14:paraId="0D8133D8"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tcPr>
          <w:p w14:paraId="30AEA9E1"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37B7F05C"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268CC82C"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01E8162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3FA6ABA9"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81455E6"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3F3051CA"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3BBE8853"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1780BF1B"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41303850"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71ED362B"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69A82E85" w14:textId="77777777" w:rsidTr="00D86880">
        <w:trPr>
          <w:trHeight w:val="320"/>
        </w:trPr>
        <w:tc>
          <w:tcPr>
            <w:tcW w:w="1185" w:type="dxa"/>
            <w:tcBorders>
              <w:top w:val="nil"/>
              <w:left w:val="nil"/>
              <w:bottom w:val="nil"/>
              <w:right w:val="nil"/>
            </w:tcBorders>
            <w:vAlign w:val="center"/>
          </w:tcPr>
          <w:p w14:paraId="2EB60AB7"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Q5</w:t>
            </w:r>
          </w:p>
        </w:tc>
        <w:tc>
          <w:tcPr>
            <w:tcW w:w="4515" w:type="dxa"/>
            <w:tcBorders>
              <w:top w:val="nil"/>
              <w:left w:val="nil"/>
              <w:bottom w:val="nil"/>
              <w:right w:val="nil"/>
            </w:tcBorders>
            <w:vAlign w:val="center"/>
          </w:tcPr>
          <w:p w14:paraId="18C5E1A7"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confounding factors identified?</w:t>
            </w:r>
          </w:p>
        </w:tc>
        <w:tc>
          <w:tcPr>
            <w:tcW w:w="645" w:type="dxa"/>
            <w:tcBorders>
              <w:top w:val="nil"/>
              <w:left w:val="nil"/>
              <w:bottom w:val="nil"/>
              <w:right w:val="nil"/>
            </w:tcBorders>
            <w:vAlign w:val="bottom"/>
          </w:tcPr>
          <w:p w14:paraId="7A6E8EF8"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center"/>
          </w:tcPr>
          <w:p w14:paraId="7E6FAEFC"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1D98F328"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0FB517E1"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3161DE1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1292F467"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2AB6BC2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3F5E035B"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14B3A150"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4A403914"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1CDA84E4"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0628E364"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1B7DF846" w14:textId="77777777" w:rsidTr="00D86880">
        <w:trPr>
          <w:trHeight w:val="320"/>
        </w:trPr>
        <w:tc>
          <w:tcPr>
            <w:tcW w:w="1185" w:type="dxa"/>
            <w:tcBorders>
              <w:top w:val="nil"/>
              <w:left w:val="nil"/>
              <w:bottom w:val="nil"/>
              <w:right w:val="nil"/>
            </w:tcBorders>
            <w:vAlign w:val="center"/>
          </w:tcPr>
          <w:p w14:paraId="740D912F"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Q6</w:t>
            </w:r>
          </w:p>
        </w:tc>
        <w:tc>
          <w:tcPr>
            <w:tcW w:w="4515" w:type="dxa"/>
            <w:tcBorders>
              <w:top w:val="nil"/>
              <w:left w:val="nil"/>
              <w:bottom w:val="nil"/>
              <w:right w:val="nil"/>
            </w:tcBorders>
            <w:vAlign w:val="center"/>
          </w:tcPr>
          <w:p w14:paraId="4787B55B"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strategies to deal with confounding factors stated?</w:t>
            </w:r>
          </w:p>
        </w:tc>
        <w:tc>
          <w:tcPr>
            <w:tcW w:w="645" w:type="dxa"/>
            <w:tcBorders>
              <w:top w:val="nil"/>
              <w:left w:val="nil"/>
              <w:bottom w:val="nil"/>
              <w:right w:val="nil"/>
            </w:tcBorders>
            <w:vAlign w:val="bottom"/>
          </w:tcPr>
          <w:p w14:paraId="3C453282"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center"/>
          </w:tcPr>
          <w:p w14:paraId="45AF85E2"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79B01513"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73258245"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0103816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E87713A"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2D0FBC1A"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4FB00464"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2EA54D17"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168B4041"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772CA95E"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076A7E5A"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4D03E8DC" w14:textId="77777777" w:rsidTr="00D86880">
        <w:trPr>
          <w:trHeight w:val="330"/>
        </w:trPr>
        <w:tc>
          <w:tcPr>
            <w:tcW w:w="1185" w:type="dxa"/>
            <w:tcBorders>
              <w:top w:val="nil"/>
              <w:left w:val="nil"/>
              <w:bottom w:val="nil"/>
              <w:right w:val="nil"/>
            </w:tcBorders>
            <w:vAlign w:val="center"/>
          </w:tcPr>
          <w:p w14:paraId="4AAA4409"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Q7</w:t>
            </w:r>
          </w:p>
        </w:tc>
        <w:tc>
          <w:tcPr>
            <w:tcW w:w="4515" w:type="dxa"/>
            <w:tcBorders>
              <w:top w:val="nil"/>
              <w:left w:val="nil"/>
              <w:bottom w:val="nil"/>
              <w:right w:val="nil"/>
            </w:tcBorders>
            <w:vAlign w:val="center"/>
          </w:tcPr>
          <w:p w14:paraId="0100E65D"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the outcomes measured in a valid and reliable way?</w:t>
            </w:r>
          </w:p>
        </w:tc>
        <w:tc>
          <w:tcPr>
            <w:tcW w:w="645" w:type="dxa"/>
            <w:tcBorders>
              <w:top w:val="nil"/>
              <w:left w:val="nil"/>
              <w:bottom w:val="nil"/>
              <w:right w:val="nil"/>
            </w:tcBorders>
            <w:vAlign w:val="bottom"/>
          </w:tcPr>
          <w:p w14:paraId="1A923024"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center"/>
          </w:tcPr>
          <w:p w14:paraId="754D8AF3"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3AD8889F"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1FFE130E"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712DCB0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4D22482"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CCF50C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85B2CC1"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2CD093A6"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58BD0F3C"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67FE5905"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23AA080F"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640BC030" w14:textId="77777777" w:rsidTr="00D86880">
        <w:trPr>
          <w:trHeight w:val="320"/>
        </w:trPr>
        <w:tc>
          <w:tcPr>
            <w:tcW w:w="1185" w:type="dxa"/>
            <w:tcBorders>
              <w:top w:val="nil"/>
              <w:left w:val="nil"/>
              <w:bottom w:val="nil"/>
              <w:right w:val="nil"/>
            </w:tcBorders>
            <w:vAlign w:val="center"/>
          </w:tcPr>
          <w:p w14:paraId="2A092FB7"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Q8</w:t>
            </w:r>
          </w:p>
        </w:tc>
        <w:tc>
          <w:tcPr>
            <w:tcW w:w="4515" w:type="dxa"/>
            <w:tcBorders>
              <w:top w:val="nil"/>
              <w:left w:val="nil"/>
              <w:bottom w:val="nil"/>
              <w:right w:val="nil"/>
            </w:tcBorders>
            <w:vAlign w:val="center"/>
          </w:tcPr>
          <w:p w14:paraId="3D78599F"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Was appropriate statistical analysis used?</w:t>
            </w:r>
          </w:p>
        </w:tc>
        <w:tc>
          <w:tcPr>
            <w:tcW w:w="645" w:type="dxa"/>
            <w:tcBorders>
              <w:top w:val="nil"/>
              <w:left w:val="nil"/>
              <w:bottom w:val="nil"/>
              <w:right w:val="nil"/>
            </w:tcBorders>
            <w:vAlign w:val="bottom"/>
          </w:tcPr>
          <w:p w14:paraId="4D12EFF1"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center"/>
          </w:tcPr>
          <w:p w14:paraId="6A8BDFD1"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13164B04"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5948961E"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50B3E98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211361E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F9E82D2"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F0DB82F"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4C5FD3B1"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13490771"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73AF413B"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256663B4"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326CD010" w14:textId="77777777" w:rsidTr="00D86880">
        <w:trPr>
          <w:trHeight w:val="320"/>
        </w:trPr>
        <w:tc>
          <w:tcPr>
            <w:tcW w:w="1185" w:type="dxa"/>
            <w:tcBorders>
              <w:top w:val="nil"/>
              <w:left w:val="nil"/>
              <w:bottom w:val="nil"/>
              <w:right w:val="nil"/>
            </w:tcBorders>
            <w:vAlign w:val="center"/>
          </w:tcPr>
          <w:p w14:paraId="31D8DC70" w14:textId="77777777" w:rsidR="005714A1" w:rsidRDefault="005714A1" w:rsidP="00D86880">
            <w:pPr>
              <w:spacing w:line="480" w:lineRule="auto"/>
              <w:rPr>
                <w:rFonts w:ascii="Times New Roman" w:eastAsia="Times New Roman" w:hAnsi="Times New Roman" w:cs="Times New Roman"/>
                <w:sz w:val="20"/>
                <w:szCs w:val="20"/>
              </w:rPr>
            </w:pPr>
          </w:p>
        </w:tc>
        <w:tc>
          <w:tcPr>
            <w:tcW w:w="4515" w:type="dxa"/>
            <w:tcBorders>
              <w:top w:val="nil"/>
              <w:left w:val="nil"/>
              <w:bottom w:val="nil"/>
              <w:right w:val="nil"/>
            </w:tcBorders>
            <w:vAlign w:val="center"/>
          </w:tcPr>
          <w:p w14:paraId="678D76D9"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center"/>
          </w:tcPr>
          <w:p w14:paraId="39154B95"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01016A6D"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2E5C7C2A"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2D142350"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789B810C"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0B2AEC6"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1E7921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BDD0E26"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3A747BCE"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21BE69ED"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20F265A4"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0E32156E"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1FB43090" w14:textId="77777777" w:rsidTr="00D86880">
        <w:trPr>
          <w:trHeight w:val="520"/>
        </w:trPr>
        <w:tc>
          <w:tcPr>
            <w:tcW w:w="1185" w:type="dxa"/>
            <w:tcBorders>
              <w:top w:val="nil"/>
              <w:left w:val="nil"/>
              <w:bottom w:val="nil"/>
              <w:right w:val="nil"/>
            </w:tcBorders>
            <w:vAlign w:val="center"/>
          </w:tcPr>
          <w:p w14:paraId="1376CB02" w14:textId="77777777" w:rsidR="005714A1" w:rsidRDefault="005714A1" w:rsidP="00D86880">
            <w:pPr>
              <w:spacing w:line="48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lastRenderedPageBreak/>
              <w:t>Cohort study</w:t>
            </w:r>
          </w:p>
        </w:tc>
        <w:tc>
          <w:tcPr>
            <w:tcW w:w="4515" w:type="dxa"/>
            <w:tcBorders>
              <w:top w:val="nil"/>
              <w:left w:val="nil"/>
              <w:bottom w:val="nil"/>
              <w:right w:val="nil"/>
            </w:tcBorders>
            <w:vAlign w:val="center"/>
          </w:tcPr>
          <w:p w14:paraId="4F56D35B" w14:textId="77777777" w:rsidR="005714A1" w:rsidRDefault="005714A1" w:rsidP="00D86880">
            <w:pPr>
              <w:spacing w:line="480" w:lineRule="auto"/>
              <w:rPr>
                <w:rFonts w:ascii="Times New Roman" w:eastAsia="Times New Roman" w:hAnsi="Times New Roman" w:cs="Times New Roman"/>
                <w:i/>
                <w:sz w:val="18"/>
                <w:szCs w:val="18"/>
              </w:rPr>
            </w:pPr>
          </w:p>
        </w:tc>
        <w:tc>
          <w:tcPr>
            <w:tcW w:w="645" w:type="dxa"/>
            <w:tcBorders>
              <w:top w:val="nil"/>
              <w:left w:val="nil"/>
              <w:bottom w:val="nil"/>
              <w:right w:val="nil"/>
            </w:tcBorders>
            <w:vAlign w:val="center"/>
          </w:tcPr>
          <w:p w14:paraId="50F73CC6"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37E3554B"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center"/>
          </w:tcPr>
          <w:p w14:paraId="274BDE29"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2496A26A"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center"/>
          </w:tcPr>
          <w:p w14:paraId="41E175FA"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0177DDE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6E879CFC"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639E5BBE"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center"/>
          </w:tcPr>
          <w:p w14:paraId="4D32787E"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center"/>
          </w:tcPr>
          <w:p w14:paraId="244545E7"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center"/>
          </w:tcPr>
          <w:p w14:paraId="10977760"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center"/>
          </w:tcPr>
          <w:p w14:paraId="1DCB6A28"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7CBB0626" w14:textId="77777777" w:rsidTr="00D86880">
        <w:trPr>
          <w:trHeight w:val="520"/>
        </w:trPr>
        <w:tc>
          <w:tcPr>
            <w:tcW w:w="1185" w:type="dxa"/>
            <w:tcBorders>
              <w:top w:val="nil"/>
              <w:left w:val="nil"/>
              <w:bottom w:val="nil"/>
              <w:right w:val="nil"/>
            </w:tcBorders>
            <w:vAlign w:val="center"/>
          </w:tcPr>
          <w:p w14:paraId="5EB7C859"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Q1</w:t>
            </w:r>
          </w:p>
        </w:tc>
        <w:tc>
          <w:tcPr>
            <w:tcW w:w="4515" w:type="dxa"/>
            <w:tcBorders>
              <w:top w:val="nil"/>
              <w:left w:val="nil"/>
              <w:bottom w:val="nil"/>
              <w:right w:val="nil"/>
            </w:tcBorders>
            <w:vAlign w:val="center"/>
          </w:tcPr>
          <w:p w14:paraId="4B8DD579"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the two groups similar and recruited from the same population?</w:t>
            </w:r>
          </w:p>
        </w:tc>
        <w:tc>
          <w:tcPr>
            <w:tcW w:w="645" w:type="dxa"/>
            <w:tcBorders>
              <w:top w:val="nil"/>
              <w:left w:val="nil"/>
              <w:bottom w:val="nil"/>
              <w:right w:val="nil"/>
            </w:tcBorders>
            <w:vAlign w:val="bottom"/>
          </w:tcPr>
          <w:p w14:paraId="1B436651"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03B8DF5C"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665D8D28"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2DFD3556"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65F3FD1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C41DEF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6142BC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2EE08760"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76B6410B"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48EA34A9"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5BF3265D"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1A139800"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294762E9" w14:textId="77777777" w:rsidTr="00D86880">
        <w:trPr>
          <w:trHeight w:val="520"/>
        </w:trPr>
        <w:tc>
          <w:tcPr>
            <w:tcW w:w="1185" w:type="dxa"/>
            <w:tcBorders>
              <w:top w:val="nil"/>
              <w:left w:val="nil"/>
              <w:bottom w:val="nil"/>
              <w:right w:val="nil"/>
            </w:tcBorders>
            <w:vAlign w:val="center"/>
          </w:tcPr>
          <w:p w14:paraId="2DE7CAF4"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Q2</w:t>
            </w:r>
          </w:p>
        </w:tc>
        <w:tc>
          <w:tcPr>
            <w:tcW w:w="4515" w:type="dxa"/>
            <w:tcBorders>
              <w:top w:val="nil"/>
              <w:left w:val="nil"/>
              <w:bottom w:val="nil"/>
              <w:right w:val="nil"/>
            </w:tcBorders>
            <w:vAlign w:val="center"/>
          </w:tcPr>
          <w:p w14:paraId="3061C2E4"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the exposures measured similarly to assign people to both exposed and unexposed groups?</w:t>
            </w:r>
          </w:p>
        </w:tc>
        <w:tc>
          <w:tcPr>
            <w:tcW w:w="645" w:type="dxa"/>
            <w:tcBorders>
              <w:top w:val="nil"/>
              <w:left w:val="nil"/>
              <w:bottom w:val="nil"/>
              <w:right w:val="nil"/>
            </w:tcBorders>
            <w:vAlign w:val="bottom"/>
          </w:tcPr>
          <w:p w14:paraId="317E6CE9"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5A24F671"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570F380C"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7DE60CE2"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7D8922D9"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110ADCA4"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8BF3227"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9F3F350"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6ECA022D"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56C26870"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7B2D86B2"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1C955E17"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054ED7A4" w14:textId="77777777" w:rsidTr="00D86880">
        <w:trPr>
          <w:trHeight w:val="320"/>
        </w:trPr>
        <w:tc>
          <w:tcPr>
            <w:tcW w:w="1185" w:type="dxa"/>
            <w:tcBorders>
              <w:top w:val="nil"/>
              <w:left w:val="nil"/>
              <w:bottom w:val="nil"/>
              <w:right w:val="nil"/>
            </w:tcBorders>
            <w:vAlign w:val="center"/>
          </w:tcPr>
          <w:p w14:paraId="32AA543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Q3</w:t>
            </w:r>
          </w:p>
        </w:tc>
        <w:tc>
          <w:tcPr>
            <w:tcW w:w="4515" w:type="dxa"/>
            <w:tcBorders>
              <w:top w:val="nil"/>
              <w:left w:val="nil"/>
              <w:bottom w:val="nil"/>
              <w:right w:val="nil"/>
            </w:tcBorders>
            <w:vAlign w:val="center"/>
          </w:tcPr>
          <w:p w14:paraId="4B6DBE70"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Was the exposure measured in a valid and reliable way?</w:t>
            </w:r>
          </w:p>
        </w:tc>
        <w:tc>
          <w:tcPr>
            <w:tcW w:w="645" w:type="dxa"/>
            <w:tcBorders>
              <w:top w:val="nil"/>
              <w:left w:val="nil"/>
              <w:bottom w:val="nil"/>
              <w:right w:val="nil"/>
            </w:tcBorders>
            <w:vAlign w:val="bottom"/>
          </w:tcPr>
          <w:p w14:paraId="4C2F9D36"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59AF083E"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2ADC1462"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5806AF9E"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138C2D3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3AEA71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E4DD61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B1BAA17"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1F591DDB"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38DB2ACF"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4B060F48"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42850CF4"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77266EA5" w14:textId="77777777" w:rsidTr="00D86880">
        <w:trPr>
          <w:trHeight w:val="320"/>
        </w:trPr>
        <w:tc>
          <w:tcPr>
            <w:tcW w:w="1185" w:type="dxa"/>
            <w:tcBorders>
              <w:top w:val="nil"/>
              <w:left w:val="nil"/>
              <w:bottom w:val="nil"/>
              <w:right w:val="nil"/>
            </w:tcBorders>
            <w:vAlign w:val="center"/>
          </w:tcPr>
          <w:p w14:paraId="3CB370BE"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Q4</w:t>
            </w:r>
          </w:p>
        </w:tc>
        <w:tc>
          <w:tcPr>
            <w:tcW w:w="4515" w:type="dxa"/>
            <w:tcBorders>
              <w:top w:val="nil"/>
              <w:left w:val="nil"/>
              <w:bottom w:val="nil"/>
              <w:right w:val="nil"/>
            </w:tcBorders>
            <w:vAlign w:val="center"/>
          </w:tcPr>
          <w:p w14:paraId="4AF8EB69"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confounding factors identified?</w:t>
            </w:r>
          </w:p>
        </w:tc>
        <w:tc>
          <w:tcPr>
            <w:tcW w:w="645" w:type="dxa"/>
            <w:tcBorders>
              <w:top w:val="nil"/>
              <w:left w:val="nil"/>
              <w:bottom w:val="nil"/>
              <w:right w:val="nil"/>
            </w:tcBorders>
            <w:vAlign w:val="bottom"/>
          </w:tcPr>
          <w:p w14:paraId="4A6BF270"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2A407D9E"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071FE274"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6D3F3DA0"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2E2C19E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CE9EF8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5980F79"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15967C96"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493641FC"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418E42EE"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09AA6AE6"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69D3A323"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28C887B9" w14:textId="77777777" w:rsidTr="00D86880">
        <w:trPr>
          <w:trHeight w:val="320"/>
        </w:trPr>
        <w:tc>
          <w:tcPr>
            <w:tcW w:w="1185" w:type="dxa"/>
            <w:tcBorders>
              <w:top w:val="nil"/>
              <w:left w:val="nil"/>
              <w:bottom w:val="nil"/>
              <w:right w:val="nil"/>
            </w:tcBorders>
            <w:vAlign w:val="center"/>
          </w:tcPr>
          <w:p w14:paraId="186FB697"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Q5</w:t>
            </w:r>
          </w:p>
        </w:tc>
        <w:tc>
          <w:tcPr>
            <w:tcW w:w="4515" w:type="dxa"/>
            <w:tcBorders>
              <w:top w:val="nil"/>
              <w:left w:val="nil"/>
              <w:bottom w:val="nil"/>
              <w:right w:val="nil"/>
            </w:tcBorders>
            <w:vAlign w:val="center"/>
          </w:tcPr>
          <w:p w14:paraId="10BC8212"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strategies to deal with confounding factors stated?</w:t>
            </w:r>
          </w:p>
        </w:tc>
        <w:tc>
          <w:tcPr>
            <w:tcW w:w="645" w:type="dxa"/>
            <w:tcBorders>
              <w:top w:val="nil"/>
              <w:left w:val="nil"/>
              <w:bottom w:val="nil"/>
              <w:right w:val="nil"/>
            </w:tcBorders>
            <w:vAlign w:val="bottom"/>
          </w:tcPr>
          <w:p w14:paraId="2AD69D65"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0660EFA8"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4FD6A9D7"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793E8494"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6E711C0C"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44DE2FC"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3B09A34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BCAC54B"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2CFFC5E8"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6B583244"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318D4481"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1389CEA0"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1D4B7FEC" w14:textId="77777777" w:rsidTr="00D86880">
        <w:trPr>
          <w:trHeight w:val="520"/>
        </w:trPr>
        <w:tc>
          <w:tcPr>
            <w:tcW w:w="1185" w:type="dxa"/>
            <w:tcBorders>
              <w:top w:val="nil"/>
              <w:left w:val="nil"/>
              <w:bottom w:val="nil"/>
              <w:right w:val="nil"/>
            </w:tcBorders>
            <w:vAlign w:val="center"/>
          </w:tcPr>
          <w:p w14:paraId="300B9581"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Q6</w:t>
            </w:r>
          </w:p>
        </w:tc>
        <w:tc>
          <w:tcPr>
            <w:tcW w:w="4515" w:type="dxa"/>
            <w:tcBorders>
              <w:top w:val="nil"/>
              <w:left w:val="nil"/>
              <w:bottom w:val="nil"/>
              <w:right w:val="nil"/>
            </w:tcBorders>
            <w:vAlign w:val="center"/>
          </w:tcPr>
          <w:p w14:paraId="477352C6"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the groups/participants free of the outcome at the start of the study (or at the moment of exposure)?</w:t>
            </w:r>
          </w:p>
        </w:tc>
        <w:tc>
          <w:tcPr>
            <w:tcW w:w="645" w:type="dxa"/>
            <w:tcBorders>
              <w:top w:val="nil"/>
              <w:left w:val="nil"/>
              <w:bottom w:val="nil"/>
              <w:right w:val="nil"/>
            </w:tcBorders>
            <w:vAlign w:val="bottom"/>
          </w:tcPr>
          <w:p w14:paraId="2E3B58C3"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35C8FAB8"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7A47426D"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1ACC4AC8"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2A5DA5D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5AED72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F80F504"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11449257"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0EAEDF10"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65B018EA"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2FB8BA60"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5CD2C7E5"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4C6D9D61" w14:textId="77777777" w:rsidTr="00D86880">
        <w:trPr>
          <w:trHeight w:val="320"/>
        </w:trPr>
        <w:tc>
          <w:tcPr>
            <w:tcW w:w="1185" w:type="dxa"/>
            <w:tcBorders>
              <w:top w:val="nil"/>
              <w:left w:val="nil"/>
              <w:bottom w:val="nil"/>
              <w:right w:val="nil"/>
            </w:tcBorders>
            <w:vAlign w:val="center"/>
          </w:tcPr>
          <w:p w14:paraId="74775181"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Q7</w:t>
            </w:r>
          </w:p>
        </w:tc>
        <w:tc>
          <w:tcPr>
            <w:tcW w:w="4515" w:type="dxa"/>
            <w:tcBorders>
              <w:top w:val="nil"/>
              <w:left w:val="nil"/>
              <w:bottom w:val="nil"/>
              <w:right w:val="nil"/>
            </w:tcBorders>
            <w:vAlign w:val="center"/>
          </w:tcPr>
          <w:p w14:paraId="207EBABA"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the outcomes measured in a valid and reliable way?</w:t>
            </w:r>
          </w:p>
        </w:tc>
        <w:tc>
          <w:tcPr>
            <w:tcW w:w="645" w:type="dxa"/>
            <w:tcBorders>
              <w:top w:val="nil"/>
              <w:left w:val="nil"/>
              <w:bottom w:val="nil"/>
              <w:right w:val="nil"/>
            </w:tcBorders>
            <w:vAlign w:val="bottom"/>
          </w:tcPr>
          <w:p w14:paraId="38CE2499"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575ECFCE"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6B5703F3"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043F739F"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1143556F"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F313F6A"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F5AB945"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6827E42"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67327CEC"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16EF4680"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74704B07"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12FB4408"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162D3F14" w14:textId="77777777" w:rsidTr="00D86880">
        <w:trPr>
          <w:trHeight w:val="520"/>
        </w:trPr>
        <w:tc>
          <w:tcPr>
            <w:tcW w:w="1185" w:type="dxa"/>
            <w:tcBorders>
              <w:top w:val="nil"/>
              <w:left w:val="nil"/>
              <w:bottom w:val="nil"/>
              <w:right w:val="nil"/>
            </w:tcBorders>
            <w:vAlign w:val="center"/>
          </w:tcPr>
          <w:p w14:paraId="243B6E1A"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Q8</w:t>
            </w:r>
          </w:p>
        </w:tc>
        <w:tc>
          <w:tcPr>
            <w:tcW w:w="4515" w:type="dxa"/>
            <w:tcBorders>
              <w:top w:val="nil"/>
              <w:left w:val="nil"/>
              <w:bottom w:val="nil"/>
              <w:right w:val="nil"/>
            </w:tcBorders>
            <w:vAlign w:val="center"/>
          </w:tcPr>
          <w:p w14:paraId="16FBA973"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Was the follow up time reported and sufficient to be long enough for outcomes to occur?</w:t>
            </w:r>
          </w:p>
        </w:tc>
        <w:tc>
          <w:tcPr>
            <w:tcW w:w="645" w:type="dxa"/>
            <w:tcBorders>
              <w:top w:val="nil"/>
              <w:left w:val="nil"/>
              <w:bottom w:val="nil"/>
              <w:right w:val="nil"/>
            </w:tcBorders>
            <w:vAlign w:val="bottom"/>
          </w:tcPr>
          <w:p w14:paraId="4FA057A0"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554E6D77"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3CCA4DFD"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381EC1FF"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0F051A5F"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1D173F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B5AD98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17588B48"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3AE3FE48"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579EE1AD"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05449BAB"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34149F3A"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5F94A72E" w14:textId="77777777" w:rsidTr="00D86880">
        <w:trPr>
          <w:trHeight w:val="520"/>
        </w:trPr>
        <w:tc>
          <w:tcPr>
            <w:tcW w:w="1185" w:type="dxa"/>
            <w:tcBorders>
              <w:top w:val="nil"/>
              <w:left w:val="nil"/>
              <w:bottom w:val="nil"/>
              <w:right w:val="nil"/>
            </w:tcBorders>
            <w:vAlign w:val="center"/>
          </w:tcPr>
          <w:p w14:paraId="60D98EE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Q9</w:t>
            </w:r>
          </w:p>
        </w:tc>
        <w:tc>
          <w:tcPr>
            <w:tcW w:w="4515" w:type="dxa"/>
            <w:tcBorders>
              <w:top w:val="nil"/>
              <w:left w:val="nil"/>
              <w:bottom w:val="nil"/>
              <w:right w:val="nil"/>
            </w:tcBorders>
            <w:vAlign w:val="center"/>
          </w:tcPr>
          <w:p w14:paraId="154CD77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Was follow up complete, and if not, were the reasons to loss to follow up described and explored?</w:t>
            </w:r>
          </w:p>
        </w:tc>
        <w:tc>
          <w:tcPr>
            <w:tcW w:w="645" w:type="dxa"/>
            <w:tcBorders>
              <w:top w:val="nil"/>
              <w:left w:val="nil"/>
              <w:bottom w:val="nil"/>
              <w:right w:val="nil"/>
            </w:tcBorders>
            <w:vAlign w:val="bottom"/>
          </w:tcPr>
          <w:p w14:paraId="3FF2C101"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5EE315DC"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48CA723C"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198D556B"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5E12B9B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F6C9FF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542915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5CD932F"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6A946C34"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5B080A17"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5E77F037"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3A476258"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75A39166" w14:textId="77777777" w:rsidTr="00D86880">
        <w:trPr>
          <w:trHeight w:val="520"/>
        </w:trPr>
        <w:tc>
          <w:tcPr>
            <w:tcW w:w="1185" w:type="dxa"/>
            <w:tcBorders>
              <w:top w:val="nil"/>
              <w:left w:val="nil"/>
              <w:bottom w:val="nil"/>
              <w:right w:val="nil"/>
            </w:tcBorders>
            <w:vAlign w:val="center"/>
          </w:tcPr>
          <w:p w14:paraId="64DE680D"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Q10</w:t>
            </w:r>
          </w:p>
        </w:tc>
        <w:tc>
          <w:tcPr>
            <w:tcW w:w="4515" w:type="dxa"/>
            <w:tcBorders>
              <w:top w:val="nil"/>
              <w:left w:val="nil"/>
              <w:bottom w:val="nil"/>
              <w:right w:val="nil"/>
            </w:tcBorders>
            <w:vAlign w:val="center"/>
          </w:tcPr>
          <w:p w14:paraId="434A9A7B"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Were strategies to address incomplete follow up utilized?</w:t>
            </w:r>
          </w:p>
        </w:tc>
        <w:tc>
          <w:tcPr>
            <w:tcW w:w="645" w:type="dxa"/>
            <w:tcBorders>
              <w:top w:val="nil"/>
              <w:left w:val="nil"/>
              <w:bottom w:val="nil"/>
              <w:right w:val="nil"/>
            </w:tcBorders>
            <w:vAlign w:val="bottom"/>
          </w:tcPr>
          <w:p w14:paraId="20153FC5"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6A3C2F4C"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21EF626F"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779FFE68"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4FEFE3ED"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4107D696"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64C00A0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364D06E8"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440EC8C0"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063838C2"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35E61723"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57125714"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6D38D38F" w14:textId="77777777" w:rsidTr="00D86880">
        <w:trPr>
          <w:trHeight w:val="320"/>
        </w:trPr>
        <w:tc>
          <w:tcPr>
            <w:tcW w:w="1185" w:type="dxa"/>
            <w:tcBorders>
              <w:top w:val="nil"/>
              <w:left w:val="nil"/>
              <w:bottom w:val="nil"/>
              <w:right w:val="nil"/>
            </w:tcBorders>
            <w:vAlign w:val="center"/>
          </w:tcPr>
          <w:p w14:paraId="1F0DEEEB"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Q11</w:t>
            </w:r>
          </w:p>
        </w:tc>
        <w:tc>
          <w:tcPr>
            <w:tcW w:w="4515" w:type="dxa"/>
            <w:tcBorders>
              <w:top w:val="nil"/>
              <w:left w:val="nil"/>
              <w:bottom w:val="nil"/>
              <w:right w:val="nil"/>
            </w:tcBorders>
            <w:vAlign w:val="center"/>
          </w:tcPr>
          <w:p w14:paraId="74936065"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Was appropriate statistical analysis used?</w:t>
            </w:r>
          </w:p>
        </w:tc>
        <w:tc>
          <w:tcPr>
            <w:tcW w:w="645" w:type="dxa"/>
            <w:tcBorders>
              <w:top w:val="nil"/>
              <w:left w:val="nil"/>
              <w:bottom w:val="nil"/>
              <w:right w:val="nil"/>
            </w:tcBorders>
            <w:vAlign w:val="bottom"/>
          </w:tcPr>
          <w:p w14:paraId="54E5F747"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vAlign w:val="bottom"/>
          </w:tcPr>
          <w:p w14:paraId="154C50E9"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2BC8C6A0"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5078A2A5"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3F046876"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27284C8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500C08A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78B5621B"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6181ABC7"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46A7E8CE"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329AF5D0"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7DD4F145"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69FCFA3F" w14:textId="77777777" w:rsidTr="00D86880">
        <w:trPr>
          <w:trHeight w:val="320"/>
        </w:trPr>
        <w:tc>
          <w:tcPr>
            <w:tcW w:w="1185" w:type="dxa"/>
            <w:tcBorders>
              <w:top w:val="nil"/>
              <w:left w:val="nil"/>
              <w:bottom w:val="nil"/>
              <w:right w:val="nil"/>
            </w:tcBorders>
            <w:vAlign w:val="center"/>
          </w:tcPr>
          <w:p w14:paraId="3818F994" w14:textId="77777777" w:rsidR="005714A1" w:rsidRDefault="005714A1" w:rsidP="00D86880">
            <w:pPr>
              <w:spacing w:line="480" w:lineRule="auto"/>
              <w:rPr>
                <w:rFonts w:ascii="Times New Roman" w:eastAsia="Times New Roman" w:hAnsi="Times New Roman" w:cs="Times New Roman"/>
                <w:sz w:val="20"/>
                <w:szCs w:val="20"/>
              </w:rPr>
            </w:pPr>
          </w:p>
        </w:tc>
        <w:tc>
          <w:tcPr>
            <w:tcW w:w="4515" w:type="dxa"/>
            <w:tcBorders>
              <w:top w:val="nil"/>
              <w:left w:val="nil"/>
              <w:bottom w:val="nil"/>
              <w:right w:val="nil"/>
            </w:tcBorders>
            <w:vAlign w:val="center"/>
          </w:tcPr>
          <w:p w14:paraId="312B7A82"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center"/>
          </w:tcPr>
          <w:p w14:paraId="6C079B99"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7AE93CA2"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bottom"/>
          </w:tcPr>
          <w:p w14:paraId="60C7FD06"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bottom"/>
          </w:tcPr>
          <w:p w14:paraId="7342B7DA"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61941CE1"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A24D92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42AB78D9"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4747E1D7"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2BAFDA1C"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144F3852"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3E305497"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5F2A048A"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4901464C" w14:textId="77777777" w:rsidTr="00D86880">
        <w:trPr>
          <w:trHeight w:val="520"/>
        </w:trPr>
        <w:tc>
          <w:tcPr>
            <w:tcW w:w="1185" w:type="dxa"/>
            <w:tcBorders>
              <w:top w:val="nil"/>
              <w:left w:val="nil"/>
              <w:bottom w:val="nil"/>
              <w:right w:val="nil"/>
            </w:tcBorders>
            <w:vAlign w:val="center"/>
          </w:tcPr>
          <w:p w14:paraId="2919341B" w14:textId="77777777" w:rsidR="005714A1" w:rsidRDefault="005714A1" w:rsidP="00D86880">
            <w:pPr>
              <w:spacing w:line="48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Qualitative study</w:t>
            </w:r>
          </w:p>
        </w:tc>
        <w:tc>
          <w:tcPr>
            <w:tcW w:w="4515" w:type="dxa"/>
            <w:tcBorders>
              <w:top w:val="nil"/>
              <w:left w:val="nil"/>
              <w:bottom w:val="nil"/>
              <w:right w:val="nil"/>
            </w:tcBorders>
            <w:vAlign w:val="center"/>
          </w:tcPr>
          <w:p w14:paraId="46F0B4E4" w14:textId="77777777" w:rsidR="005714A1" w:rsidRDefault="005714A1" w:rsidP="00D86880">
            <w:pPr>
              <w:spacing w:line="480" w:lineRule="auto"/>
              <w:rPr>
                <w:rFonts w:ascii="Times New Roman" w:eastAsia="Times New Roman" w:hAnsi="Times New Roman" w:cs="Times New Roman"/>
                <w:i/>
                <w:sz w:val="18"/>
                <w:szCs w:val="18"/>
              </w:rPr>
            </w:pPr>
          </w:p>
        </w:tc>
        <w:tc>
          <w:tcPr>
            <w:tcW w:w="645" w:type="dxa"/>
            <w:tcBorders>
              <w:top w:val="nil"/>
              <w:left w:val="nil"/>
              <w:bottom w:val="nil"/>
              <w:right w:val="nil"/>
            </w:tcBorders>
            <w:vAlign w:val="bottom"/>
          </w:tcPr>
          <w:p w14:paraId="1B587ACD"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2C6BDA7F"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vAlign w:val="center"/>
          </w:tcPr>
          <w:p w14:paraId="40AA13AD"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vAlign w:val="center"/>
          </w:tcPr>
          <w:p w14:paraId="57C1B002"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center"/>
          </w:tcPr>
          <w:p w14:paraId="3C8A269A"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center"/>
          </w:tcPr>
          <w:p w14:paraId="1AF7AEAD"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2AF4D65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vAlign w:val="bottom"/>
          </w:tcPr>
          <w:p w14:paraId="0DCEFFD4"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vAlign w:val="bottom"/>
          </w:tcPr>
          <w:p w14:paraId="59391B0A"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vAlign w:val="bottom"/>
          </w:tcPr>
          <w:p w14:paraId="7ECF4338"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vAlign w:val="bottom"/>
          </w:tcPr>
          <w:p w14:paraId="7052AD75"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vAlign w:val="bottom"/>
          </w:tcPr>
          <w:p w14:paraId="2ED553EC"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0942DB75" w14:textId="77777777" w:rsidTr="00D86880">
        <w:trPr>
          <w:trHeight w:val="320"/>
        </w:trPr>
        <w:tc>
          <w:tcPr>
            <w:tcW w:w="1185" w:type="dxa"/>
            <w:tcBorders>
              <w:top w:val="nil"/>
              <w:left w:val="nil"/>
              <w:bottom w:val="nil"/>
              <w:right w:val="nil"/>
            </w:tcBorders>
            <w:vAlign w:val="center"/>
          </w:tcPr>
          <w:p w14:paraId="50F2A8FA"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JBI Q1</w:t>
            </w:r>
          </w:p>
        </w:tc>
        <w:tc>
          <w:tcPr>
            <w:tcW w:w="7680" w:type="dxa"/>
            <w:gridSpan w:val="6"/>
            <w:tcBorders>
              <w:top w:val="nil"/>
              <w:left w:val="nil"/>
              <w:bottom w:val="nil"/>
              <w:right w:val="nil"/>
            </w:tcBorders>
            <w:vAlign w:val="bottom"/>
          </w:tcPr>
          <w:p w14:paraId="084950B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Is there congruity between the stated philosophical perspective and the research methodology</w:t>
            </w:r>
          </w:p>
        </w:tc>
        <w:tc>
          <w:tcPr>
            <w:tcW w:w="600" w:type="dxa"/>
            <w:tcBorders>
              <w:top w:val="nil"/>
              <w:left w:val="nil"/>
              <w:bottom w:val="nil"/>
              <w:right w:val="nil"/>
            </w:tcBorders>
          </w:tcPr>
          <w:p w14:paraId="7FAA6AC5" w14:textId="77777777" w:rsidR="005714A1" w:rsidRDefault="005714A1" w:rsidP="00D86880">
            <w:pPr>
              <w:spacing w:line="480" w:lineRule="auto"/>
              <w:rPr>
                <w:rFonts w:ascii="Times New Roman" w:eastAsia="Times New Roman" w:hAnsi="Times New Roman" w:cs="Times New Roman"/>
                <w:sz w:val="18"/>
                <w:szCs w:val="18"/>
              </w:rPr>
            </w:pPr>
          </w:p>
        </w:tc>
        <w:tc>
          <w:tcPr>
            <w:tcW w:w="600" w:type="dxa"/>
            <w:tcBorders>
              <w:top w:val="nil"/>
              <w:left w:val="nil"/>
              <w:bottom w:val="nil"/>
              <w:right w:val="nil"/>
            </w:tcBorders>
          </w:tcPr>
          <w:p w14:paraId="47CF1628"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6E91C97B"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69EB626D"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062BDB6C"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5B8D8052"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5E80AB92"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2C608C88" w14:textId="77777777" w:rsidTr="00D86880">
        <w:trPr>
          <w:trHeight w:val="320"/>
        </w:trPr>
        <w:tc>
          <w:tcPr>
            <w:tcW w:w="1185" w:type="dxa"/>
            <w:tcBorders>
              <w:top w:val="nil"/>
              <w:left w:val="nil"/>
              <w:bottom w:val="nil"/>
              <w:right w:val="nil"/>
            </w:tcBorders>
            <w:vAlign w:val="center"/>
          </w:tcPr>
          <w:p w14:paraId="64E9BBB1" w14:textId="77777777" w:rsidR="005714A1" w:rsidRDefault="005714A1" w:rsidP="00D86880">
            <w:pPr>
              <w:spacing w:line="480" w:lineRule="auto"/>
              <w:rPr>
                <w:rFonts w:ascii="Times New Roman" w:eastAsia="Times New Roman" w:hAnsi="Times New Roman" w:cs="Times New Roman"/>
                <w:sz w:val="18"/>
                <w:szCs w:val="18"/>
              </w:rPr>
            </w:pPr>
          </w:p>
          <w:p w14:paraId="75D26B3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Q2</w:t>
            </w:r>
          </w:p>
        </w:tc>
        <w:tc>
          <w:tcPr>
            <w:tcW w:w="7680" w:type="dxa"/>
            <w:gridSpan w:val="6"/>
            <w:tcBorders>
              <w:top w:val="nil"/>
              <w:left w:val="nil"/>
              <w:bottom w:val="nil"/>
              <w:right w:val="nil"/>
            </w:tcBorders>
            <w:vAlign w:val="bottom"/>
          </w:tcPr>
          <w:p w14:paraId="2468D941"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Is there congruity between the research methodology and the research question or objectives</w:t>
            </w:r>
          </w:p>
        </w:tc>
        <w:tc>
          <w:tcPr>
            <w:tcW w:w="600" w:type="dxa"/>
            <w:tcBorders>
              <w:top w:val="nil"/>
              <w:left w:val="nil"/>
              <w:bottom w:val="nil"/>
              <w:right w:val="nil"/>
            </w:tcBorders>
          </w:tcPr>
          <w:p w14:paraId="65636136" w14:textId="77777777" w:rsidR="005714A1" w:rsidRDefault="005714A1" w:rsidP="00D86880">
            <w:pPr>
              <w:spacing w:line="480" w:lineRule="auto"/>
              <w:rPr>
                <w:rFonts w:ascii="Times New Roman" w:eastAsia="Times New Roman" w:hAnsi="Times New Roman" w:cs="Times New Roman"/>
                <w:sz w:val="18"/>
                <w:szCs w:val="18"/>
              </w:rPr>
            </w:pPr>
          </w:p>
        </w:tc>
        <w:tc>
          <w:tcPr>
            <w:tcW w:w="600" w:type="dxa"/>
            <w:tcBorders>
              <w:top w:val="nil"/>
              <w:left w:val="nil"/>
              <w:bottom w:val="nil"/>
              <w:right w:val="nil"/>
            </w:tcBorders>
          </w:tcPr>
          <w:p w14:paraId="30954336"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69404C5A"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62BDFB73"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2D64540E"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7CF9586D"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04C24869"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63FB5ED1" w14:textId="77777777" w:rsidTr="00D86880">
        <w:trPr>
          <w:trHeight w:val="320"/>
        </w:trPr>
        <w:tc>
          <w:tcPr>
            <w:tcW w:w="1185" w:type="dxa"/>
            <w:tcBorders>
              <w:top w:val="nil"/>
              <w:left w:val="nil"/>
              <w:bottom w:val="nil"/>
              <w:right w:val="nil"/>
            </w:tcBorders>
            <w:vAlign w:val="center"/>
          </w:tcPr>
          <w:p w14:paraId="0EFC1394" w14:textId="77777777" w:rsidR="005714A1" w:rsidRDefault="005714A1" w:rsidP="00D86880">
            <w:pPr>
              <w:spacing w:line="480" w:lineRule="auto"/>
              <w:rPr>
                <w:rFonts w:ascii="Times New Roman" w:eastAsia="Times New Roman" w:hAnsi="Times New Roman" w:cs="Times New Roman"/>
                <w:sz w:val="18"/>
                <w:szCs w:val="18"/>
              </w:rPr>
            </w:pPr>
          </w:p>
          <w:p w14:paraId="7787C3E4"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Q3</w:t>
            </w:r>
          </w:p>
        </w:tc>
        <w:tc>
          <w:tcPr>
            <w:tcW w:w="7065" w:type="dxa"/>
            <w:gridSpan w:val="5"/>
            <w:tcBorders>
              <w:top w:val="nil"/>
              <w:left w:val="nil"/>
              <w:bottom w:val="nil"/>
              <w:right w:val="nil"/>
            </w:tcBorders>
            <w:vAlign w:val="bottom"/>
          </w:tcPr>
          <w:p w14:paraId="2E730BB3"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Is there congruity between the research methodology and the methods used to collect data? </w:t>
            </w:r>
          </w:p>
        </w:tc>
        <w:tc>
          <w:tcPr>
            <w:tcW w:w="615" w:type="dxa"/>
            <w:tcBorders>
              <w:top w:val="nil"/>
              <w:left w:val="nil"/>
              <w:bottom w:val="nil"/>
              <w:right w:val="nil"/>
            </w:tcBorders>
          </w:tcPr>
          <w:p w14:paraId="0E948DE6" w14:textId="77777777" w:rsidR="005714A1" w:rsidRDefault="005714A1" w:rsidP="00D86880">
            <w:pPr>
              <w:spacing w:line="480" w:lineRule="auto"/>
              <w:rPr>
                <w:rFonts w:ascii="Times New Roman" w:eastAsia="Times New Roman" w:hAnsi="Times New Roman" w:cs="Times New Roman"/>
                <w:sz w:val="18"/>
                <w:szCs w:val="18"/>
              </w:rPr>
            </w:pPr>
          </w:p>
        </w:tc>
        <w:tc>
          <w:tcPr>
            <w:tcW w:w="600" w:type="dxa"/>
            <w:tcBorders>
              <w:top w:val="nil"/>
              <w:left w:val="nil"/>
              <w:bottom w:val="nil"/>
              <w:right w:val="nil"/>
            </w:tcBorders>
          </w:tcPr>
          <w:p w14:paraId="7414690C"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4E0EEFEA"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2E16B5E8"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384D4D37"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0897F8D9"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49324358"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284E6EBF"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76764331" w14:textId="77777777" w:rsidTr="00D86880">
        <w:trPr>
          <w:trHeight w:val="320"/>
        </w:trPr>
        <w:tc>
          <w:tcPr>
            <w:tcW w:w="1185" w:type="dxa"/>
            <w:tcBorders>
              <w:top w:val="nil"/>
              <w:left w:val="nil"/>
              <w:bottom w:val="nil"/>
              <w:right w:val="nil"/>
            </w:tcBorders>
            <w:vAlign w:val="center"/>
          </w:tcPr>
          <w:p w14:paraId="3D715211" w14:textId="77777777" w:rsidR="005714A1" w:rsidRDefault="005714A1" w:rsidP="00D86880">
            <w:pPr>
              <w:spacing w:line="480" w:lineRule="auto"/>
              <w:rPr>
                <w:rFonts w:ascii="Times New Roman" w:eastAsia="Times New Roman" w:hAnsi="Times New Roman" w:cs="Times New Roman"/>
                <w:sz w:val="18"/>
                <w:szCs w:val="18"/>
              </w:rPr>
            </w:pPr>
          </w:p>
          <w:p w14:paraId="3F661D5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Q4</w:t>
            </w:r>
          </w:p>
        </w:tc>
        <w:tc>
          <w:tcPr>
            <w:tcW w:w="7680" w:type="dxa"/>
            <w:gridSpan w:val="6"/>
            <w:tcBorders>
              <w:top w:val="nil"/>
              <w:left w:val="nil"/>
              <w:bottom w:val="nil"/>
              <w:right w:val="nil"/>
            </w:tcBorders>
            <w:vAlign w:val="bottom"/>
          </w:tcPr>
          <w:p w14:paraId="4B811B54"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Is there congruity between the research methodology and the representation and analysis of data? </w:t>
            </w:r>
          </w:p>
        </w:tc>
        <w:tc>
          <w:tcPr>
            <w:tcW w:w="600" w:type="dxa"/>
            <w:tcBorders>
              <w:top w:val="nil"/>
              <w:left w:val="nil"/>
              <w:bottom w:val="nil"/>
              <w:right w:val="nil"/>
            </w:tcBorders>
          </w:tcPr>
          <w:p w14:paraId="3302353E" w14:textId="77777777" w:rsidR="005714A1" w:rsidRDefault="005714A1" w:rsidP="00D86880">
            <w:pPr>
              <w:spacing w:line="480" w:lineRule="auto"/>
              <w:rPr>
                <w:rFonts w:ascii="Times New Roman" w:eastAsia="Times New Roman" w:hAnsi="Times New Roman" w:cs="Times New Roman"/>
                <w:sz w:val="18"/>
                <w:szCs w:val="18"/>
              </w:rPr>
            </w:pPr>
          </w:p>
        </w:tc>
        <w:tc>
          <w:tcPr>
            <w:tcW w:w="600" w:type="dxa"/>
            <w:tcBorders>
              <w:top w:val="nil"/>
              <w:left w:val="nil"/>
              <w:bottom w:val="nil"/>
              <w:right w:val="nil"/>
            </w:tcBorders>
          </w:tcPr>
          <w:p w14:paraId="76C14930"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7021A315"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557A4527"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4EBBD1FE"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1673DB89"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75B9DD93"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4E18F5F9" w14:textId="77777777" w:rsidTr="00D86880">
        <w:trPr>
          <w:trHeight w:val="320"/>
        </w:trPr>
        <w:tc>
          <w:tcPr>
            <w:tcW w:w="1185" w:type="dxa"/>
            <w:tcBorders>
              <w:top w:val="nil"/>
              <w:left w:val="nil"/>
              <w:bottom w:val="nil"/>
              <w:right w:val="nil"/>
            </w:tcBorders>
            <w:vAlign w:val="center"/>
          </w:tcPr>
          <w:p w14:paraId="31FC9322" w14:textId="77777777" w:rsidR="005714A1" w:rsidRDefault="005714A1" w:rsidP="00D86880">
            <w:pPr>
              <w:spacing w:line="480" w:lineRule="auto"/>
              <w:rPr>
                <w:rFonts w:ascii="Times New Roman" w:eastAsia="Times New Roman" w:hAnsi="Times New Roman" w:cs="Times New Roman"/>
                <w:sz w:val="18"/>
                <w:szCs w:val="18"/>
              </w:rPr>
            </w:pPr>
          </w:p>
          <w:p w14:paraId="41A53B38"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Q5</w:t>
            </w:r>
          </w:p>
        </w:tc>
        <w:tc>
          <w:tcPr>
            <w:tcW w:w="7065" w:type="dxa"/>
            <w:gridSpan w:val="5"/>
            <w:tcBorders>
              <w:top w:val="nil"/>
              <w:left w:val="nil"/>
              <w:bottom w:val="nil"/>
              <w:right w:val="nil"/>
            </w:tcBorders>
            <w:vAlign w:val="bottom"/>
          </w:tcPr>
          <w:p w14:paraId="7ADDB233"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Is there congruity between the research methodology and the interpretation of results?</w:t>
            </w:r>
          </w:p>
        </w:tc>
        <w:tc>
          <w:tcPr>
            <w:tcW w:w="615" w:type="dxa"/>
            <w:tcBorders>
              <w:top w:val="nil"/>
              <w:left w:val="nil"/>
              <w:bottom w:val="nil"/>
              <w:right w:val="nil"/>
            </w:tcBorders>
          </w:tcPr>
          <w:p w14:paraId="260A4D15" w14:textId="77777777" w:rsidR="005714A1" w:rsidRDefault="005714A1" w:rsidP="00D86880">
            <w:pPr>
              <w:spacing w:line="480" w:lineRule="auto"/>
              <w:rPr>
                <w:rFonts w:ascii="Times New Roman" w:eastAsia="Times New Roman" w:hAnsi="Times New Roman" w:cs="Times New Roman"/>
                <w:sz w:val="18"/>
                <w:szCs w:val="18"/>
              </w:rPr>
            </w:pPr>
          </w:p>
        </w:tc>
        <w:tc>
          <w:tcPr>
            <w:tcW w:w="600" w:type="dxa"/>
            <w:tcBorders>
              <w:top w:val="nil"/>
              <w:left w:val="nil"/>
              <w:bottom w:val="nil"/>
              <w:right w:val="nil"/>
            </w:tcBorders>
          </w:tcPr>
          <w:p w14:paraId="743BF086"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3A8732FA"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6FBB62AE"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02C5A074"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72A943B3"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629727C2"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5BDD2673"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5E145F22" w14:textId="77777777" w:rsidTr="00D86880">
        <w:trPr>
          <w:trHeight w:val="320"/>
        </w:trPr>
        <w:tc>
          <w:tcPr>
            <w:tcW w:w="1185" w:type="dxa"/>
            <w:tcBorders>
              <w:top w:val="nil"/>
              <w:left w:val="nil"/>
              <w:bottom w:val="nil"/>
              <w:right w:val="nil"/>
            </w:tcBorders>
            <w:vAlign w:val="center"/>
          </w:tcPr>
          <w:p w14:paraId="2EA13663" w14:textId="77777777" w:rsidR="005714A1" w:rsidRDefault="005714A1" w:rsidP="00D86880">
            <w:pPr>
              <w:spacing w:line="480" w:lineRule="auto"/>
              <w:rPr>
                <w:rFonts w:ascii="Times New Roman" w:eastAsia="Times New Roman" w:hAnsi="Times New Roman" w:cs="Times New Roman"/>
                <w:sz w:val="18"/>
                <w:szCs w:val="18"/>
              </w:rPr>
            </w:pPr>
          </w:p>
          <w:p w14:paraId="79B04123"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Q6</w:t>
            </w:r>
          </w:p>
        </w:tc>
        <w:tc>
          <w:tcPr>
            <w:tcW w:w="5790" w:type="dxa"/>
            <w:gridSpan w:val="3"/>
            <w:tcBorders>
              <w:top w:val="nil"/>
              <w:left w:val="nil"/>
              <w:bottom w:val="nil"/>
              <w:right w:val="nil"/>
            </w:tcBorders>
            <w:vAlign w:val="bottom"/>
          </w:tcPr>
          <w:p w14:paraId="79BFDF5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Is there a statement locating the researcher culturally or theoretically? </w:t>
            </w:r>
          </w:p>
        </w:tc>
        <w:tc>
          <w:tcPr>
            <w:tcW w:w="645" w:type="dxa"/>
            <w:tcBorders>
              <w:top w:val="nil"/>
              <w:left w:val="nil"/>
              <w:bottom w:val="nil"/>
              <w:right w:val="nil"/>
            </w:tcBorders>
          </w:tcPr>
          <w:p w14:paraId="50E8D22B"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tcPr>
          <w:p w14:paraId="0ED39E4E"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676CD247"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54CBD39F"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2A824ED5"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64171393"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6456D234"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71CB12FE"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16A48F04"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420F3FEE"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46B58D0E" w14:textId="77777777" w:rsidTr="00D86880">
        <w:trPr>
          <w:trHeight w:val="320"/>
        </w:trPr>
        <w:tc>
          <w:tcPr>
            <w:tcW w:w="1185" w:type="dxa"/>
            <w:tcBorders>
              <w:top w:val="nil"/>
              <w:left w:val="nil"/>
              <w:bottom w:val="nil"/>
              <w:right w:val="nil"/>
            </w:tcBorders>
            <w:vAlign w:val="center"/>
          </w:tcPr>
          <w:p w14:paraId="4E9274BE" w14:textId="77777777" w:rsidR="005714A1" w:rsidRDefault="005714A1" w:rsidP="00D86880">
            <w:pPr>
              <w:spacing w:line="480" w:lineRule="auto"/>
              <w:rPr>
                <w:rFonts w:ascii="Times New Roman" w:eastAsia="Times New Roman" w:hAnsi="Times New Roman" w:cs="Times New Roman"/>
                <w:sz w:val="18"/>
                <w:szCs w:val="18"/>
              </w:rPr>
            </w:pPr>
          </w:p>
          <w:p w14:paraId="63956B3F"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Q7</w:t>
            </w:r>
          </w:p>
        </w:tc>
        <w:tc>
          <w:tcPr>
            <w:tcW w:w="5790" w:type="dxa"/>
            <w:gridSpan w:val="3"/>
            <w:tcBorders>
              <w:top w:val="nil"/>
              <w:left w:val="nil"/>
              <w:bottom w:val="nil"/>
              <w:right w:val="nil"/>
            </w:tcBorders>
            <w:vAlign w:val="bottom"/>
          </w:tcPr>
          <w:p w14:paraId="76404200"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Is the influence of the researcher on the research, and vice- versa, addressed?</w:t>
            </w:r>
          </w:p>
        </w:tc>
        <w:tc>
          <w:tcPr>
            <w:tcW w:w="645" w:type="dxa"/>
            <w:tcBorders>
              <w:top w:val="nil"/>
              <w:left w:val="nil"/>
              <w:bottom w:val="nil"/>
              <w:right w:val="nil"/>
            </w:tcBorders>
          </w:tcPr>
          <w:p w14:paraId="1A30EC58"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tcPr>
          <w:p w14:paraId="61E7A6A3"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0EF09DAD"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3FDD9CE3"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33D87C4B"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13251C32"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11B76091"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43004935"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7D05485F"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4EB667B6"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0E52CEFA" w14:textId="77777777" w:rsidTr="00D86880">
        <w:trPr>
          <w:trHeight w:val="320"/>
        </w:trPr>
        <w:tc>
          <w:tcPr>
            <w:tcW w:w="1185" w:type="dxa"/>
            <w:tcBorders>
              <w:top w:val="nil"/>
              <w:left w:val="nil"/>
              <w:bottom w:val="nil"/>
              <w:right w:val="nil"/>
            </w:tcBorders>
            <w:vAlign w:val="center"/>
          </w:tcPr>
          <w:p w14:paraId="3DF1270E" w14:textId="77777777" w:rsidR="005714A1" w:rsidRDefault="005714A1" w:rsidP="00D86880">
            <w:pPr>
              <w:spacing w:line="480" w:lineRule="auto"/>
              <w:rPr>
                <w:rFonts w:ascii="Times New Roman" w:eastAsia="Times New Roman" w:hAnsi="Times New Roman" w:cs="Times New Roman"/>
                <w:sz w:val="18"/>
                <w:szCs w:val="18"/>
              </w:rPr>
            </w:pPr>
          </w:p>
          <w:p w14:paraId="67741D2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Q8</w:t>
            </w:r>
          </w:p>
        </w:tc>
        <w:tc>
          <w:tcPr>
            <w:tcW w:w="4515" w:type="dxa"/>
            <w:tcBorders>
              <w:top w:val="nil"/>
              <w:left w:val="nil"/>
              <w:bottom w:val="nil"/>
              <w:right w:val="nil"/>
            </w:tcBorders>
            <w:vAlign w:val="bottom"/>
          </w:tcPr>
          <w:p w14:paraId="6C90200F" w14:textId="77777777" w:rsidR="005714A1" w:rsidRDefault="005714A1" w:rsidP="00D86880">
            <w:pPr>
              <w:spacing w:line="480" w:lineRule="auto"/>
              <w:rPr>
                <w:rFonts w:ascii="Times New Roman" w:eastAsia="Times New Roman" w:hAnsi="Times New Roman" w:cs="Times New Roman"/>
                <w:sz w:val="18"/>
                <w:szCs w:val="18"/>
              </w:rPr>
            </w:pPr>
          </w:p>
          <w:p w14:paraId="702AE20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Are participants, and their voices, adequately represented?</w:t>
            </w:r>
          </w:p>
        </w:tc>
        <w:tc>
          <w:tcPr>
            <w:tcW w:w="645" w:type="dxa"/>
            <w:tcBorders>
              <w:top w:val="nil"/>
              <w:left w:val="nil"/>
              <w:bottom w:val="nil"/>
              <w:right w:val="nil"/>
            </w:tcBorders>
            <w:vAlign w:val="bottom"/>
          </w:tcPr>
          <w:p w14:paraId="382ED747" w14:textId="77777777" w:rsidR="005714A1" w:rsidRDefault="005714A1" w:rsidP="00D86880">
            <w:pPr>
              <w:spacing w:line="480" w:lineRule="auto"/>
              <w:rPr>
                <w:rFonts w:ascii="Times New Roman" w:eastAsia="Times New Roman" w:hAnsi="Times New Roman" w:cs="Times New Roman"/>
                <w:sz w:val="18"/>
                <w:szCs w:val="18"/>
              </w:rPr>
            </w:pPr>
          </w:p>
        </w:tc>
        <w:tc>
          <w:tcPr>
            <w:tcW w:w="630" w:type="dxa"/>
            <w:tcBorders>
              <w:top w:val="nil"/>
              <w:left w:val="nil"/>
              <w:bottom w:val="nil"/>
              <w:right w:val="nil"/>
            </w:tcBorders>
          </w:tcPr>
          <w:p w14:paraId="78058E70" w14:textId="77777777" w:rsidR="005714A1" w:rsidRDefault="005714A1" w:rsidP="00D86880">
            <w:pPr>
              <w:spacing w:line="480" w:lineRule="auto"/>
              <w:rPr>
                <w:rFonts w:ascii="Times New Roman" w:eastAsia="Times New Roman" w:hAnsi="Times New Roman" w:cs="Times New Roman"/>
                <w:sz w:val="20"/>
                <w:szCs w:val="20"/>
              </w:rPr>
            </w:pPr>
          </w:p>
        </w:tc>
        <w:tc>
          <w:tcPr>
            <w:tcW w:w="645" w:type="dxa"/>
            <w:tcBorders>
              <w:top w:val="nil"/>
              <w:left w:val="nil"/>
              <w:bottom w:val="nil"/>
              <w:right w:val="nil"/>
            </w:tcBorders>
          </w:tcPr>
          <w:p w14:paraId="0836621E" w14:textId="77777777" w:rsidR="005714A1" w:rsidRDefault="005714A1" w:rsidP="00D86880">
            <w:pPr>
              <w:spacing w:line="480" w:lineRule="auto"/>
              <w:rPr>
                <w:rFonts w:ascii="Times New Roman" w:eastAsia="Times New Roman" w:hAnsi="Times New Roman" w:cs="Times New Roman"/>
                <w:sz w:val="20"/>
                <w:szCs w:val="20"/>
              </w:rPr>
            </w:pPr>
          </w:p>
        </w:tc>
        <w:tc>
          <w:tcPr>
            <w:tcW w:w="630" w:type="dxa"/>
            <w:tcBorders>
              <w:top w:val="nil"/>
              <w:left w:val="nil"/>
              <w:bottom w:val="nil"/>
              <w:right w:val="nil"/>
            </w:tcBorders>
          </w:tcPr>
          <w:p w14:paraId="295EBD17"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3288EAE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49A9828E"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0702501D" w14:textId="77777777" w:rsidR="005714A1" w:rsidRDefault="005714A1" w:rsidP="00D86880">
            <w:pPr>
              <w:spacing w:line="480" w:lineRule="auto"/>
              <w:rPr>
                <w:rFonts w:ascii="Times New Roman" w:eastAsia="Times New Roman" w:hAnsi="Times New Roman" w:cs="Times New Roman"/>
                <w:sz w:val="20"/>
                <w:szCs w:val="20"/>
              </w:rPr>
            </w:pPr>
          </w:p>
        </w:tc>
        <w:tc>
          <w:tcPr>
            <w:tcW w:w="600" w:type="dxa"/>
            <w:tcBorders>
              <w:top w:val="nil"/>
              <w:left w:val="nil"/>
              <w:bottom w:val="nil"/>
              <w:right w:val="nil"/>
            </w:tcBorders>
          </w:tcPr>
          <w:p w14:paraId="7EC829CB" w14:textId="77777777" w:rsidR="005714A1" w:rsidRDefault="005714A1" w:rsidP="00D86880">
            <w:pPr>
              <w:spacing w:line="480" w:lineRule="auto"/>
              <w:rPr>
                <w:rFonts w:ascii="Times New Roman" w:eastAsia="Times New Roman" w:hAnsi="Times New Roman" w:cs="Times New Roman"/>
                <w:sz w:val="20"/>
                <w:szCs w:val="20"/>
              </w:rPr>
            </w:pPr>
          </w:p>
        </w:tc>
        <w:tc>
          <w:tcPr>
            <w:tcW w:w="615" w:type="dxa"/>
            <w:tcBorders>
              <w:top w:val="nil"/>
              <w:left w:val="nil"/>
              <w:bottom w:val="nil"/>
              <w:right w:val="nil"/>
            </w:tcBorders>
          </w:tcPr>
          <w:p w14:paraId="5FF858F7" w14:textId="77777777" w:rsidR="005714A1" w:rsidRDefault="005714A1" w:rsidP="00D86880">
            <w:pPr>
              <w:spacing w:line="480" w:lineRule="auto"/>
              <w:rPr>
                <w:rFonts w:ascii="Times New Roman" w:eastAsia="Times New Roman" w:hAnsi="Times New Roman" w:cs="Times New Roman"/>
                <w:sz w:val="20"/>
                <w:szCs w:val="20"/>
              </w:rPr>
            </w:pPr>
          </w:p>
        </w:tc>
        <w:tc>
          <w:tcPr>
            <w:tcW w:w="690" w:type="dxa"/>
            <w:tcBorders>
              <w:top w:val="nil"/>
              <w:left w:val="nil"/>
              <w:bottom w:val="nil"/>
              <w:right w:val="nil"/>
            </w:tcBorders>
          </w:tcPr>
          <w:p w14:paraId="5579DE43" w14:textId="77777777" w:rsidR="005714A1" w:rsidRDefault="005714A1" w:rsidP="00D86880">
            <w:pPr>
              <w:spacing w:line="480" w:lineRule="auto"/>
              <w:rPr>
                <w:rFonts w:ascii="Times New Roman" w:eastAsia="Times New Roman" w:hAnsi="Times New Roman" w:cs="Times New Roman"/>
                <w:sz w:val="20"/>
                <w:szCs w:val="20"/>
              </w:rPr>
            </w:pPr>
          </w:p>
        </w:tc>
        <w:tc>
          <w:tcPr>
            <w:tcW w:w="675" w:type="dxa"/>
            <w:tcBorders>
              <w:top w:val="nil"/>
              <w:left w:val="nil"/>
              <w:bottom w:val="nil"/>
              <w:right w:val="nil"/>
            </w:tcBorders>
          </w:tcPr>
          <w:p w14:paraId="3F5084B6" w14:textId="77777777" w:rsidR="005714A1" w:rsidRDefault="005714A1" w:rsidP="00D86880">
            <w:pPr>
              <w:spacing w:line="480" w:lineRule="auto"/>
              <w:rPr>
                <w:rFonts w:ascii="Times New Roman" w:eastAsia="Times New Roman" w:hAnsi="Times New Roman" w:cs="Times New Roman"/>
                <w:sz w:val="20"/>
                <w:szCs w:val="20"/>
              </w:rPr>
            </w:pPr>
          </w:p>
        </w:tc>
        <w:tc>
          <w:tcPr>
            <w:tcW w:w="765" w:type="dxa"/>
            <w:tcBorders>
              <w:top w:val="nil"/>
              <w:left w:val="nil"/>
              <w:bottom w:val="nil"/>
              <w:right w:val="nil"/>
            </w:tcBorders>
          </w:tcPr>
          <w:p w14:paraId="0F0001D4" w14:textId="77777777" w:rsidR="005714A1" w:rsidRDefault="005714A1" w:rsidP="00D86880">
            <w:pPr>
              <w:spacing w:line="480" w:lineRule="auto"/>
              <w:rPr>
                <w:rFonts w:ascii="Times New Roman" w:eastAsia="Times New Roman" w:hAnsi="Times New Roman" w:cs="Times New Roman"/>
                <w:sz w:val="20"/>
                <w:szCs w:val="20"/>
              </w:rPr>
            </w:pPr>
          </w:p>
        </w:tc>
      </w:tr>
      <w:tr w:rsidR="005714A1" w14:paraId="5F823042" w14:textId="77777777" w:rsidTr="00D86880">
        <w:trPr>
          <w:trHeight w:val="320"/>
        </w:trPr>
        <w:tc>
          <w:tcPr>
            <w:tcW w:w="1185" w:type="dxa"/>
            <w:tcBorders>
              <w:top w:val="nil"/>
              <w:left w:val="nil"/>
              <w:bottom w:val="nil"/>
              <w:right w:val="nil"/>
            </w:tcBorders>
            <w:vAlign w:val="center"/>
          </w:tcPr>
          <w:p w14:paraId="19DAFFB3"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Q9</w:t>
            </w:r>
          </w:p>
        </w:tc>
        <w:tc>
          <w:tcPr>
            <w:tcW w:w="10785" w:type="dxa"/>
            <w:gridSpan w:val="11"/>
            <w:tcBorders>
              <w:top w:val="nil"/>
              <w:left w:val="nil"/>
              <w:bottom w:val="nil"/>
              <w:right w:val="nil"/>
            </w:tcBorders>
            <w:vAlign w:val="bottom"/>
          </w:tcPr>
          <w:p w14:paraId="01903652" w14:textId="77777777" w:rsidR="005714A1" w:rsidRDefault="005714A1" w:rsidP="00D86880">
            <w:pPr>
              <w:spacing w:line="480" w:lineRule="auto"/>
              <w:rPr>
                <w:rFonts w:ascii="Times New Roman" w:eastAsia="Times New Roman" w:hAnsi="Times New Roman" w:cs="Times New Roman"/>
                <w:sz w:val="18"/>
                <w:szCs w:val="18"/>
              </w:rPr>
            </w:pPr>
          </w:p>
          <w:p w14:paraId="1480956C" w14:textId="77777777" w:rsidR="005714A1" w:rsidRDefault="005714A1" w:rsidP="00D86880">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Is the research ethical according to current criteria or, for recent studies, and is there evidence </w:t>
            </w:r>
            <w:r>
              <w:rPr>
                <w:rFonts w:ascii="Times New Roman" w:eastAsia="Times New Roman" w:hAnsi="Times New Roman" w:cs="Times New Roman"/>
                <w:sz w:val="18"/>
                <w:szCs w:val="18"/>
              </w:rPr>
              <w:br/>
              <w:t>of ethical approval by an appropriate body?</w:t>
            </w:r>
          </w:p>
        </w:tc>
        <w:tc>
          <w:tcPr>
            <w:tcW w:w="675" w:type="dxa"/>
            <w:tcBorders>
              <w:top w:val="nil"/>
              <w:left w:val="nil"/>
              <w:bottom w:val="nil"/>
              <w:right w:val="nil"/>
            </w:tcBorders>
          </w:tcPr>
          <w:p w14:paraId="23F11B77" w14:textId="77777777" w:rsidR="005714A1" w:rsidRDefault="005714A1" w:rsidP="00D86880">
            <w:pPr>
              <w:spacing w:line="480" w:lineRule="auto"/>
              <w:rPr>
                <w:rFonts w:ascii="Times New Roman" w:eastAsia="Times New Roman" w:hAnsi="Times New Roman" w:cs="Times New Roman"/>
                <w:sz w:val="18"/>
                <w:szCs w:val="18"/>
              </w:rPr>
            </w:pPr>
          </w:p>
        </w:tc>
        <w:tc>
          <w:tcPr>
            <w:tcW w:w="765" w:type="dxa"/>
            <w:tcBorders>
              <w:top w:val="nil"/>
              <w:left w:val="nil"/>
              <w:bottom w:val="nil"/>
              <w:right w:val="nil"/>
            </w:tcBorders>
          </w:tcPr>
          <w:p w14:paraId="73B7714B" w14:textId="77777777" w:rsidR="005714A1" w:rsidRDefault="005714A1" w:rsidP="00D86880">
            <w:pPr>
              <w:spacing w:line="480" w:lineRule="auto"/>
              <w:rPr>
                <w:rFonts w:ascii="Times New Roman" w:eastAsia="Times New Roman" w:hAnsi="Times New Roman" w:cs="Times New Roman"/>
                <w:sz w:val="20"/>
                <w:szCs w:val="20"/>
              </w:rPr>
            </w:pPr>
          </w:p>
        </w:tc>
      </w:tr>
    </w:tbl>
    <w:p w14:paraId="20824CB0" w14:textId="77777777" w:rsidR="005714A1" w:rsidRDefault="005714A1" w:rsidP="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p w14:paraId="41C4C751" w14:textId="77777777" w:rsidR="005714A1" w:rsidRDefault="005714A1" w:rsidP="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JBI Q10             Do the conclusions drawn in the research report flow from the analysis, or interpretation, of the data?</w:t>
      </w:r>
    </w:p>
    <w:p w14:paraId="351F3DED" w14:textId="77777777" w:rsidR="005714A1" w:rsidRDefault="005714A1" w:rsidP="005714A1">
      <w:pPr>
        <w:spacing w:line="480" w:lineRule="auto"/>
        <w:rPr>
          <w:rFonts w:ascii="Times New Roman" w:eastAsia="Times New Roman" w:hAnsi="Times New Roman" w:cs="Times New Roman"/>
          <w:sz w:val="24"/>
          <w:szCs w:val="24"/>
        </w:rPr>
      </w:pPr>
    </w:p>
    <w:p w14:paraId="0A977C3A" w14:textId="77777777" w:rsidR="005714A1" w:rsidRDefault="005714A1" w:rsidP="005714A1">
      <w:pPr>
        <w:spacing w:line="48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lastRenderedPageBreak/>
        <w:t xml:space="preserve">Systematic </w:t>
      </w:r>
    </w:p>
    <w:p w14:paraId="7085695A" w14:textId="77777777" w:rsidR="005714A1" w:rsidRDefault="005714A1" w:rsidP="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i/>
          <w:sz w:val="18"/>
          <w:szCs w:val="18"/>
        </w:rPr>
        <w:t>Reviews</w:t>
      </w:r>
    </w:p>
    <w:tbl>
      <w:tblPr>
        <w:tblW w:w="79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55"/>
        <w:gridCol w:w="6765"/>
      </w:tblGrid>
      <w:tr w:rsidR="005714A1" w14:paraId="5F817A9C"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492788F2"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 xml:space="preserve">JBI Q1   </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0CBD9172"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Is the review question clearly and explicitly stated?</w:t>
            </w:r>
          </w:p>
        </w:tc>
      </w:tr>
      <w:tr w:rsidR="005714A1" w14:paraId="028265D5"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0549955B"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Q2</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72F38000"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 inclusion criteria appropriate for the review question?</w:t>
            </w:r>
          </w:p>
        </w:tc>
      </w:tr>
      <w:tr w:rsidR="005714A1" w14:paraId="57169622"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5F894A29"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Q3</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30EEE010"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Was the search strategy appropriate?</w:t>
            </w:r>
          </w:p>
        </w:tc>
      </w:tr>
      <w:tr w:rsidR="005714A1" w14:paraId="7E22081B"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188A8BC4"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Q4</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1620A9E2"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 sources and resources used to search for studies adequate?</w:t>
            </w:r>
          </w:p>
        </w:tc>
      </w:tr>
      <w:tr w:rsidR="005714A1" w14:paraId="0537FC04"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7A9DFF2C"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Q5</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1A53357F"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 criteria for appraising studies appropriate?</w:t>
            </w:r>
          </w:p>
        </w:tc>
      </w:tr>
      <w:tr w:rsidR="005714A1" w14:paraId="24A4510C"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4FCBE5BE"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Q6</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5C397E04"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Was critical appraisal conducted by two or more reviewers independently?</w:t>
            </w:r>
          </w:p>
        </w:tc>
      </w:tr>
      <w:tr w:rsidR="005714A1" w14:paraId="2C754258"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4EC5FAEC"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Q7</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1C38071A"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there methods to minimise errors in data extraction?</w:t>
            </w:r>
          </w:p>
        </w:tc>
      </w:tr>
      <w:tr w:rsidR="005714A1" w14:paraId="1F128189"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297EF1E7"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Q8</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0612ECC9"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 methods used to combine studies appropriate?</w:t>
            </w:r>
          </w:p>
        </w:tc>
      </w:tr>
      <w:tr w:rsidR="005714A1" w14:paraId="1CF80901"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2400262F"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Q9</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34C5A281"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Was the likelihood of publication bias assessed?</w:t>
            </w:r>
          </w:p>
        </w:tc>
      </w:tr>
      <w:tr w:rsidR="005714A1" w14:paraId="575F4800"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727E328B"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Q10</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6E65EDC3"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recommendations for policy and/or practice supported by the reported data?</w:t>
            </w:r>
          </w:p>
        </w:tc>
      </w:tr>
      <w:tr w:rsidR="005714A1" w14:paraId="5A87DC89" w14:textId="77777777" w:rsidTr="00D86880">
        <w:tc>
          <w:tcPr>
            <w:tcW w:w="1155" w:type="dxa"/>
            <w:tcBorders>
              <w:top w:val="single" w:sz="8" w:space="0" w:color="FFFFFF"/>
              <w:left w:val="single" w:sz="8" w:space="0" w:color="FFFFFF"/>
              <w:bottom w:val="nil"/>
              <w:right w:val="single" w:sz="8" w:space="0" w:color="FFFFFF"/>
            </w:tcBorders>
            <w:tcMar>
              <w:top w:w="100" w:type="dxa"/>
              <w:left w:w="100" w:type="dxa"/>
              <w:bottom w:w="100" w:type="dxa"/>
              <w:right w:w="100" w:type="dxa"/>
            </w:tcMar>
            <w:vAlign w:val="center"/>
          </w:tcPr>
          <w:p w14:paraId="7D5A1312"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Q11</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039A8909"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 specific directives for new research appropriate?</w:t>
            </w:r>
          </w:p>
        </w:tc>
      </w:tr>
      <w:tr w:rsidR="005714A1" w14:paraId="660BA987" w14:textId="77777777" w:rsidTr="00D86880">
        <w:tc>
          <w:tcPr>
            <w:tcW w:w="1155" w:type="dxa"/>
            <w:tcBorders>
              <w:top w:val="nil"/>
              <w:left w:val="single" w:sz="4" w:space="0" w:color="FFFFFF"/>
              <w:bottom w:val="single" w:sz="4" w:space="0" w:color="FFFFFF"/>
              <w:right w:val="single" w:sz="4" w:space="0" w:color="FFFFFF"/>
            </w:tcBorders>
            <w:vAlign w:val="center"/>
          </w:tcPr>
          <w:p w14:paraId="29244B70" w14:textId="77777777" w:rsidR="005714A1" w:rsidRDefault="005714A1" w:rsidP="00D86880">
            <w:pPr>
              <w:spacing w:line="480" w:lineRule="auto"/>
              <w:rPr>
                <w:rFonts w:ascii="Times New Roman" w:eastAsia="Times New Roman" w:hAnsi="Times New Roman" w:cs="Times New Roman"/>
                <w:i/>
                <w:sz w:val="18"/>
                <w:szCs w:val="18"/>
              </w:rPr>
            </w:pPr>
            <w:r>
              <w:rPr>
                <w:rFonts w:ascii="Times New Roman" w:eastAsia="Times New Roman" w:hAnsi="Times New Roman" w:cs="Times New Roman"/>
                <w:sz w:val="18"/>
                <w:szCs w:val="18"/>
              </w:rPr>
              <w:lastRenderedPageBreak/>
              <w:t>Quasi experimental studies</w:t>
            </w:r>
          </w:p>
        </w:tc>
        <w:tc>
          <w:tcPr>
            <w:tcW w:w="6765" w:type="dxa"/>
            <w:tcBorders>
              <w:top w:val="single" w:sz="8" w:space="0" w:color="FFFFFF"/>
              <w:left w:val="single" w:sz="4" w:space="0" w:color="FFFFFF"/>
              <w:bottom w:val="single" w:sz="18" w:space="0" w:color="FFFFFF"/>
              <w:right w:val="single" w:sz="8" w:space="0" w:color="FFFFFF"/>
            </w:tcBorders>
            <w:tcMar>
              <w:top w:w="100" w:type="dxa"/>
              <w:left w:w="100" w:type="dxa"/>
              <w:bottom w:w="100" w:type="dxa"/>
              <w:right w:w="100" w:type="dxa"/>
            </w:tcMar>
            <w:vAlign w:val="center"/>
          </w:tcPr>
          <w:p w14:paraId="706ECF17" w14:textId="77777777" w:rsidR="005714A1" w:rsidRDefault="005714A1" w:rsidP="00D86880">
            <w:pPr>
              <w:spacing w:line="480" w:lineRule="auto"/>
              <w:rPr>
                <w:rFonts w:ascii="Times New Roman" w:eastAsia="Times New Roman" w:hAnsi="Times New Roman" w:cs="Times New Roman"/>
                <w:sz w:val="18"/>
                <w:szCs w:val="18"/>
                <w:highlight w:val="white"/>
              </w:rPr>
            </w:pPr>
          </w:p>
        </w:tc>
      </w:tr>
      <w:tr w:rsidR="005714A1" w14:paraId="4568CA24" w14:textId="77777777" w:rsidTr="00D86880">
        <w:tc>
          <w:tcPr>
            <w:tcW w:w="1155" w:type="dxa"/>
            <w:tcBorders>
              <w:top w:val="single" w:sz="4"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687389C4"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 xml:space="preserve">JBI Q1   </w:t>
            </w:r>
          </w:p>
        </w:tc>
        <w:tc>
          <w:tcPr>
            <w:tcW w:w="6765" w:type="dxa"/>
            <w:tcBorders>
              <w:top w:val="single" w:sz="18" w:space="0" w:color="FFFFFF"/>
              <w:left w:val="single" w:sz="8" w:space="0" w:color="FFFFFF"/>
              <w:bottom w:val="single" w:sz="18" w:space="0" w:color="FFFFFF"/>
              <w:right w:val="single" w:sz="8" w:space="0" w:color="FFFFFF"/>
            </w:tcBorders>
            <w:tcMar>
              <w:top w:w="100" w:type="dxa"/>
              <w:left w:w="100" w:type="dxa"/>
              <w:bottom w:w="100" w:type="dxa"/>
              <w:right w:w="100" w:type="dxa"/>
            </w:tcMar>
            <w:vAlign w:val="center"/>
          </w:tcPr>
          <w:p w14:paraId="3379095B"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Is it clear in the study what is the “cause” and what is the “effect” (i.e. there is no confusion about which variable comes first)?</w:t>
            </w:r>
          </w:p>
        </w:tc>
      </w:tr>
      <w:tr w:rsidR="005714A1" w14:paraId="0C112B66"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601F9800"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Q2</w:t>
            </w:r>
          </w:p>
        </w:tc>
        <w:tc>
          <w:tcPr>
            <w:tcW w:w="6765" w:type="dxa"/>
            <w:tcBorders>
              <w:top w:val="single" w:sz="1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3717186F"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Was there a control group?</w:t>
            </w:r>
          </w:p>
        </w:tc>
      </w:tr>
      <w:tr w:rsidR="005714A1" w14:paraId="780168B2"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09BAB010"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Q3</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5A011EA4"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participants included in any comparisons similar?</w:t>
            </w:r>
          </w:p>
        </w:tc>
      </w:tr>
      <w:tr w:rsidR="005714A1" w14:paraId="253F2E05"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691A5CD0"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Q4</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336783FC"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 participants included in any comparisons receiving similar treatment/care, other than the exposure or intervention of interest?</w:t>
            </w:r>
          </w:p>
        </w:tc>
      </w:tr>
      <w:tr w:rsidR="005714A1" w14:paraId="2A98F84D"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03D536A2"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Q5</w:t>
            </w:r>
          </w:p>
        </w:tc>
        <w:tc>
          <w:tcPr>
            <w:tcW w:w="6765" w:type="dxa"/>
            <w:tcBorders>
              <w:top w:val="single" w:sz="8" w:space="0" w:color="FFFFFF"/>
              <w:left w:val="single" w:sz="8" w:space="0" w:color="FFFFFF"/>
              <w:bottom w:val="single" w:sz="18" w:space="0" w:color="FFFFFF"/>
              <w:right w:val="single" w:sz="8" w:space="0" w:color="FFFFFF"/>
            </w:tcBorders>
            <w:tcMar>
              <w:top w:w="100" w:type="dxa"/>
              <w:left w:w="100" w:type="dxa"/>
              <w:bottom w:w="100" w:type="dxa"/>
              <w:right w:w="100" w:type="dxa"/>
            </w:tcMar>
            <w:vAlign w:val="center"/>
          </w:tcPr>
          <w:p w14:paraId="259D9CE6"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there multiple measurements of the outcome, both pre and post the intervention/exposure?</w:t>
            </w:r>
          </w:p>
        </w:tc>
      </w:tr>
      <w:tr w:rsidR="005714A1" w14:paraId="671AC8C8"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497A6628"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Q6</w:t>
            </w:r>
          </w:p>
        </w:tc>
        <w:tc>
          <w:tcPr>
            <w:tcW w:w="6765" w:type="dxa"/>
            <w:tcBorders>
              <w:top w:val="single" w:sz="18" w:space="0" w:color="FFFFFF"/>
              <w:left w:val="single" w:sz="8" w:space="0" w:color="FFFFFF"/>
              <w:bottom w:val="dashed" w:sz="8" w:space="0" w:color="FFFFFF"/>
              <w:right w:val="single" w:sz="8" w:space="0" w:color="FFFFFF"/>
            </w:tcBorders>
            <w:tcMar>
              <w:top w:w="100" w:type="dxa"/>
              <w:left w:w="100" w:type="dxa"/>
              <w:bottom w:w="100" w:type="dxa"/>
              <w:right w:w="100" w:type="dxa"/>
            </w:tcMar>
            <w:vAlign w:val="center"/>
          </w:tcPr>
          <w:p w14:paraId="77ADF19B"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the outcomes of participants included in any comparisons measured in the same way?</w:t>
            </w:r>
          </w:p>
        </w:tc>
      </w:tr>
      <w:tr w:rsidR="005714A1" w14:paraId="129BCC9C"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09959C11"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Q7</w:t>
            </w:r>
          </w:p>
        </w:tc>
        <w:tc>
          <w:tcPr>
            <w:tcW w:w="6765" w:type="dxa"/>
            <w:tcBorders>
              <w:top w:val="dashed"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4B90F1DF"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Were outcomes measured in a reliable way?</w:t>
            </w:r>
          </w:p>
        </w:tc>
      </w:tr>
      <w:tr w:rsidR="005714A1" w14:paraId="36FAB6BD"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7E0532EB"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Q8</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287F4EB1"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Was follow-up complete and if not, were differences between groups in terms of their follow-up adequately described and analysed?</w:t>
            </w:r>
          </w:p>
        </w:tc>
      </w:tr>
      <w:tr w:rsidR="005714A1" w14:paraId="316D6BED"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4B4153B7"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lastRenderedPageBreak/>
              <w:t>JBI Q9</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24357244"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Was appropriate statistical analysis used?</w:t>
            </w:r>
          </w:p>
        </w:tc>
      </w:tr>
      <w:tr w:rsidR="005714A1" w14:paraId="67A612FF" w14:textId="77777777" w:rsidTr="00D86880">
        <w:tc>
          <w:tcPr>
            <w:tcW w:w="1155" w:type="dxa"/>
            <w:tcBorders>
              <w:top w:val="single" w:sz="8" w:space="0" w:color="FFFFFF"/>
              <w:left w:val="single" w:sz="8" w:space="0" w:color="FFFFFF"/>
              <w:bottom w:val="single" w:sz="4" w:space="0" w:color="FFFFFF"/>
              <w:right w:val="single" w:sz="8" w:space="0" w:color="FFFFFF"/>
            </w:tcBorders>
            <w:tcMar>
              <w:top w:w="100" w:type="dxa"/>
              <w:left w:w="100" w:type="dxa"/>
              <w:bottom w:w="100" w:type="dxa"/>
              <w:right w:w="100" w:type="dxa"/>
            </w:tcMar>
            <w:vAlign w:val="center"/>
          </w:tcPr>
          <w:p w14:paraId="4DD2390A" w14:textId="77777777" w:rsidR="005714A1" w:rsidRDefault="005714A1" w:rsidP="00D86880">
            <w:pPr>
              <w:spacing w:line="480" w:lineRule="auto"/>
              <w:rPr>
                <w:rFonts w:ascii="Times New Roman" w:eastAsia="Times New Roman" w:hAnsi="Times New Roman" w:cs="Times New Roman"/>
                <w:i/>
                <w:sz w:val="18"/>
                <w:szCs w:val="18"/>
                <w:highlight w:val="white"/>
              </w:rPr>
            </w:pPr>
            <w:r>
              <w:rPr>
                <w:rFonts w:ascii="Times New Roman" w:eastAsia="Times New Roman" w:hAnsi="Times New Roman" w:cs="Times New Roman"/>
                <w:i/>
                <w:color w:val="0E0E0E"/>
                <w:sz w:val="18"/>
                <w:szCs w:val="18"/>
                <w:highlight w:val="white"/>
              </w:rPr>
              <w:t>Textual Evidence: Expert Opinion</w:t>
            </w:r>
          </w:p>
        </w:tc>
        <w:tc>
          <w:tcPr>
            <w:tcW w:w="6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14E31B96" w14:textId="77777777" w:rsidR="005714A1" w:rsidRDefault="005714A1" w:rsidP="00D86880">
            <w:pPr>
              <w:spacing w:line="480" w:lineRule="auto"/>
              <w:rPr>
                <w:rFonts w:ascii="Times New Roman" w:eastAsia="Times New Roman" w:hAnsi="Times New Roman" w:cs="Times New Roman"/>
                <w:sz w:val="18"/>
                <w:szCs w:val="18"/>
                <w:highlight w:val="white"/>
              </w:rPr>
            </w:pPr>
          </w:p>
        </w:tc>
      </w:tr>
      <w:tr w:rsidR="005714A1" w14:paraId="7419080E" w14:textId="77777777" w:rsidTr="00D86880">
        <w:tc>
          <w:tcPr>
            <w:tcW w:w="1155" w:type="dxa"/>
            <w:tcBorders>
              <w:top w:val="single" w:sz="4"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6933A1BE"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 xml:space="preserve">JBI Q1   </w:t>
            </w:r>
          </w:p>
        </w:tc>
        <w:tc>
          <w:tcPr>
            <w:tcW w:w="6765" w:type="dxa"/>
            <w:tcBorders>
              <w:top w:val="single" w:sz="8" w:space="0" w:color="FFFFFF"/>
              <w:left w:val="single" w:sz="8" w:space="0" w:color="FFFFFF"/>
              <w:bottom w:val="single" w:sz="8" w:space="0" w:color="FFFFFF"/>
              <w:right w:val="single" w:sz="8" w:space="0" w:color="FFFFFF"/>
            </w:tcBorders>
            <w:tcMar>
              <w:top w:w="0" w:type="dxa"/>
              <w:left w:w="100" w:type="dxa"/>
              <w:bottom w:w="0" w:type="dxa"/>
              <w:right w:w="100" w:type="dxa"/>
            </w:tcMar>
          </w:tcPr>
          <w:p w14:paraId="7CD0DF72" w14:textId="77777777" w:rsidR="005714A1" w:rsidRDefault="005714A1" w:rsidP="00D86880">
            <w:pPr>
              <w:spacing w:after="120"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18"/>
                <w:szCs w:val="18"/>
                <w:highlight w:val="white"/>
              </w:rPr>
              <w:t>Is the source of the opinion clearly identified?</w:t>
            </w:r>
          </w:p>
        </w:tc>
      </w:tr>
      <w:tr w:rsidR="005714A1" w14:paraId="6BCE9D99"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7F56F3CC"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Q2</w:t>
            </w:r>
          </w:p>
        </w:tc>
        <w:tc>
          <w:tcPr>
            <w:tcW w:w="6765" w:type="dxa"/>
            <w:tcBorders>
              <w:top w:val="single" w:sz="8" w:space="0" w:color="FFFFFF"/>
              <w:left w:val="single" w:sz="8" w:space="0" w:color="FFFFFF"/>
              <w:bottom w:val="single" w:sz="8" w:space="0" w:color="FFFFFF"/>
              <w:right w:val="single" w:sz="8" w:space="0" w:color="FFFFFF"/>
            </w:tcBorders>
            <w:tcMar>
              <w:top w:w="0" w:type="dxa"/>
              <w:left w:w="100" w:type="dxa"/>
              <w:bottom w:w="0" w:type="dxa"/>
              <w:right w:w="100" w:type="dxa"/>
            </w:tcMar>
          </w:tcPr>
          <w:p w14:paraId="45D3DCE9" w14:textId="77777777" w:rsidR="005714A1" w:rsidRDefault="005714A1" w:rsidP="00D86880">
            <w:pPr>
              <w:spacing w:after="120"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Does the source of opinion have standing in the field of expertise?</w:t>
            </w:r>
          </w:p>
        </w:tc>
      </w:tr>
      <w:tr w:rsidR="005714A1" w14:paraId="72325ABD"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7080F74E"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Q3</w:t>
            </w:r>
          </w:p>
        </w:tc>
        <w:tc>
          <w:tcPr>
            <w:tcW w:w="6765" w:type="dxa"/>
            <w:tcBorders>
              <w:top w:val="single" w:sz="8" w:space="0" w:color="FFFFFF"/>
              <w:left w:val="single" w:sz="8" w:space="0" w:color="FFFFFF"/>
              <w:bottom w:val="single" w:sz="8" w:space="0" w:color="FFFFFF"/>
              <w:right w:val="single" w:sz="8" w:space="0" w:color="FFFFFF"/>
            </w:tcBorders>
            <w:tcMar>
              <w:top w:w="0" w:type="dxa"/>
              <w:left w:w="100" w:type="dxa"/>
              <w:bottom w:w="0" w:type="dxa"/>
              <w:right w:w="100" w:type="dxa"/>
            </w:tcMar>
          </w:tcPr>
          <w:p w14:paraId="1E9C6DF0" w14:textId="77777777" w:rsidR="005714A1" w:rsidRDefault="005714A1" w:rsidP="00D86880">
            <w:pPr>
              <w:spacing w:after="120"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Are the interests of the relevant population the central focus of the opinion?</w:t>
            </w:r>
          </w:p>
        </w:tc>
      </w:tr>
      <w:tr w:rsidR="005714A1" w14:paraId="0AF99C1E"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10CFFA9A"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Q4</w:t>
            </w:r>
          </w:p>
        </w:tc>
        <w:tc>
          <w:tcPr>
            <w:tcW w:w="6765" w:type="dxa"/>
            <w:tcBorders>
              <w:top w:val="single" w:sz="8" w:space="0" w:color="FFFFFF"/>
              <w:left w:val="single" w:sz="8" w:space="0" w:color="FFFFFF"/>
              <w:bottom w:val="single" w:sz="8" w:space="0" w:color="FFFFFF"/>
              <w:right w:val="single" w:sz="8" w:space="0" w:color="FFFFFF"/>
            </w:tcBorders>
            <w:tcMar>
              <w:top w:w="0" w:type="dxa"/>
              <w:left w:w="100" w:type="dxa"/>
              <w:bottom w:w="0" w:type="dxa"/>
              <w:right w:w="100" w:type="dxa"/>
            </w:tcMar>
          </w:tcPr>
          <w:p w14:paraId="15CD95D4" w14:textId="77777777" w:rsidR="005714A1" w:rsidRDefault="005714A1" w:rsidP="00D86880">
            <w:pPr>
              <w:spacing w:after="120"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 xml:space="preserve">Does the opinion demonstrate a logically defended argument to support the conclusions drawn?              </w:t>
            </w:r>
          </w:p>
        </w:tc>
      </w:tr>
      <w:tr w:rsidR="005714A1" w14:paraId="6B40A228"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24E6E3EC"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Q5</w:t>
            </w:r>
          </w:p>
        </w:tc>
        <w:tc>
          <w:tcPr>
            <w:tcW w:w="6765" w:type="dxa"/>
            <w:tcBorders>
              <w:top w:val="single" w:sz="8" w:space="0" w:color="FFFFFF"/>
              <w:left w:val="single" w:sz="8" w:space="0" w:color="FFFFFF"/>
              <w:bottom w:val="single" w:sz="8" w:space="0" w:color="FFFFFF"/>
              <w:right w:val="single" w:sz="8" w:space="0" w:color="FFFFFF"/>
            </w:tcBorders>
            <w:tcMar>
              <w:top w:w="0" w:type="dxa"/>
              <w:left w:w="100" w:type="dxa"/>
              <w:bottom w:w="0" w:type="dxa"/>
              <w:right w:w="100" w:type="dxa"/>
            </w:tcMar>
          </w:tcPr>
          <w:p w14:paraId="48C290FA" w14:textId="77777777" w:rsidR="005714A1" w:rsidRDefault="005714A1" w:rsidP="00D86880">
            <w:pPr>
              <w:spacing w:after="120"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18"/>
                <w:szCs w:val="18"/>
                <w:highlight w:val="white"/>
              </w:rPr>
              <w:t>Is there reference to the extant literature?</w:t>
            </w:r>
          </w:p>
        </w:tc>
      </w:tr>
      <w:tr w:rsidR="005714A1" w14:paraId="053B6AB4" w14:textId="77777777" w:rsidTr="00D86880">
        <w:tc>
          <w:tcPr>
            <w:tcW w:w="115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vAlign w:val="center"/>
          </w:tcPr>
          <w:p w14:paraId="2999C27B" w14:textId="77777777" w:rsidR="005714A1" w:rsidRDefault="005714A1" w:rsidP="00D86880">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JBI Q6</w:t>
            </w:r>
          </w:p>
        </w:tc>
        <w:tc>
          <w:tcPr>
            <w:tcW w:w="6765" w:type="dxa"/>
            <w:tcBorders>
              <w:top w:val="single" w:sz="8" w:space="0" w:color="FFFFFF"/>
              <w:left w:val="single" w:sz="8" w:space="0" w:color="FFFFFF"/>
              <w:bottom w:val="single" w:sz="8" w:space="0" w:color="FFFFFF"/>
              <w:right w:val="single" w:sz="8" w:space="0" w:color="FFFFFF"/>
            </w:tcBorders>
            <w:tcMar>
              <w:top w:w="0" w:type="dxa"/>
              <w:left w:w="100" w:type="dxa"/>
              <w:bottom w:w="0" w:type="dxa"/>
              <w:right w:w="100" w:type="dxa"/>
            </w:tcMar>
          </w:tcPr>
          <w:p w14:paraId="0AC6BC88" w14:textId="77777777" w:rsidR="005714A1" w:rsidRDefault="005714A1" w:rsidP="00D86880">
            <w:pPr>
              <w:spacing w:after="120"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18"/>
                <w:szCs w:val="18"/>
                <w:highlight w:val="white"/>
              </w:rPr>
              <w:t xml:space="preserve">Is any incongruence with the literature/sources logically defended? </w:t>
            </w:r>
          </w:p>
        </w:tc>
      </w:tr>
    </w:tbl>
    <w:p w14:paraId="033D28F0" w14:textId="77777777" w:rsidR="00BC16EB" w:rsidRDefault="00BC16EB">
      <w:pPr>
        <w:spacing w:line="480" w:lineRule="auto"/>
        <w:rPr>
          <w:rFonts w:ascii="Times New Roman" w:eastAsia="Times New Roman" w:hAnsi="Times New Roman" w:cs="Times New Roman"/>
          <w:b/>
          <w:sz w:val="24"/>
          <w:szCs w:val="24"/>
        </w:rPr>
      </w:pPr>
    </w:p>
    <w:p w14:paraId="0716C181" w14:textId="77777777" w:rsidR="005714A1" w:rsidRDefault="005714A1">
      <w:pPr>
        <w:spacing w:line="480" w:lineRule="auto"/>
        <w:rPr>
          <w:rFonts w:ascii="Times New Roman" w:eastAsia="Times New Roman" w:hAnsi="Times New Roman" w:cs="Times New Roman"/>
          <w:b/>
          <w:sz w:val="24"/>
          <w:szCs w:val="24"/>
        </w:rPr>
      </w:pPr>
    </w:p>
    <w:p w14:paraId="5C582912" w14:textId="77777777" w:rsidR="00BC16EB" w:rsidRDefault="00BC16EB">
      <w:pPr>
        <w:spacing w:line="480" w:lineRule="auto"/>
        <w:ind w:left="566"/>
        <w:jc w:val="both"/>
        <w:rPr>
          <w:rFonts w:ascii="Times New Roman" w:eastAsia="Times New Roman" w:hAnsi="Times New Roman" w:cs="Times New Roman"/>
          <w:b/>
          <w:sz w:val="24"/>
          <w:szCs w:val="24"/>
        </w:rPr>
      </w:pPr>
    </w:p>
    <w:p w14:paraId="3D2C85FC" w14:textId="26E4BFF3" w:rsidR="00BC16EB" w:rsidRDefault="005714A1">
      <w:pPr>
        <w:spacing w:line="480" w:lineRule="auto"/>
        <w:ind w:left="56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Table S3</w:t>
      </w:r>
      <w:r>
        <w:rPr>
          <w:rFonts w:ascii="Times New Roman" w:eastAsia="Times New Roman" w:hAnsi="Times New Roman" w:cs="Times New Roman"/>
          <w:b/>
          <w:sz w:val="24"/>
          <w:szCs w:val="24"/>
        </w:rPr>
        <w:t>. Results of the systematic review on the 3Ms</w:t>
      </w:r>
    </w:p>
    <w:p w14:paraId="701CFB59" w14:textId="77777777" w:rsidR="00BC16EB" w:rsidRDefault="00BC16EB">
      <w:pPr>
        <w:spacing w:line="480" w:lineRule="auto"/>
        <w:jc w:val="both"/>
        <w:rPr>
          <w:rFonts w:ascii="Times New Roman" w:eastAsia="Times New Roman" w:hAnsi="Times New Roman" w:cs="Times New Roman"/>
          <w:b/>
          <w:sz w:val="24"/>
          <w:szCs w:val="24"/>
        </w:rPr>
      </w:pPr>
    </w:p>
    <w:tbl>
      <w:tblPr>
        <w:tblStyle w:val="a2"/>
        <w:tblW w:w="15030" w:type="dxa"/>
        <w:tblInd w:w="-9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990"/>
        <w:gridCol w:w="1110"/>
        <w:gridCol w:w="1770"/>
        <w:gridCol w:w="1065"/>
        <w:gridCol w:w="1710"/>
        <w:gridCol w:w="1110"/>
        <w:gridCol w:w="4455"/>
        <w:gridCol w:w="1290"/>
        <w:gridCol w:w="1005"/>
      </w:tblGrid>
      <w:tr w:rsidR="00BC16EB" w14:paraId="08FD5EC5" w14:textId="77777777">
        <w:trPr>
          <w:trHeight w:val="440"/>
        </w:trPr>
        <w:tc>
          <w:tcPr>
            <w:tcW w:w="15030" w:type="dxa"/>
            <w:gridSpan w:val="10"/>
            <w:tcMar>
              <w:top w:w="100" w:type="dxa"/>
              <w:left w:w="100" w:type="dxa"/>
              <w:bottom w:w="100" w:type="dxa"/>
              <w:right w:w="100" w:type="dxa"/>
            </w:tcMar>
          </w:tcPr>
          <w:p w14:paraId="22E36744" w14:textId="77777777" w:rsidR="00BC16EB" w:rsidRDefault="005714A1">
            <w:pPr>
              <w:widowControl w:val="0"/>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Menstruation</w:t>
            </w:r>
          </w:p>
        </w:tc>
      </w:tr>
      <w:tr w:rsidR="00BC16EB" w14:paraId="5D575EBA" w14:textId="77777777">
        <w:trPr>
          <w:trHeight w:val="767"/>
        </w:trPr>
        <w:tc>
          <w:tcPr>
            <w:tcW w:w="525" w:type="dxa"/>
          </w:tcPr>
          <w:p w14:paraId="7B294E7B"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ID</w:t>
            </w:r>
          </w:p>
        </w:tc>
        <w:tc>
          <w:tcPr>
            <w:tcW w:w="990" w:type="dxa"/>
          </w:tcPr>
          <w:p w14:paraId="7AB4B73F" w14:textId="77777777" w:rsidR="00BC16EB" w:rsidRDefault="005714A1">
            <w:pPr>
              <w:spacing w:line="48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8"/>
                <w:szCs w:val="18"/>
              </w:rPr>
              <w:t xml:space="preserve">Year of </w:t>
            </w:r>
            <w:r>
              <w:rPr>
                <w:rFonts w:ascii="Times New Roman" w:eastAsia="Times New Roman" w:hAnsi="Times New Roman" w:cs="Times New Roman"/>
                <w:b/>
                <w:sz w:val="16"/>
                <w:szCs w:val="16"/>
              </w:rPr>
              <w:t>publication</w:t>
            </w:r>
          </w:p>
        </w:tc>
        <w:tc>
          <w:tcPr>
            <w:tcW w:w="1110" w:type="dxa"/>
          </w:tcPr>
          <w:p w14:paraId="01E6E1C1"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Authors</w:t>
            </w:r>
          </w:p>
        </w:tc>
        <w:tc>
          <w:tcPr>
            <w:tcW w:w="1770" w:type="dxa"/>
          </w:tcPr>
          <w:p w14:paraId="116F51F4"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Title</w:t>
            </w:r>
          </w:p>
        </w:tc>
        <w:tc>
          <w:tcPr>
            <w:tcW w:w="1065" w:type="dxa"/>
          </w:tcPr>
          <w:p w14:paraId="76A7B0E4"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Journal</w:t>
            </w:r>
          </w:p>
        </w:tc>
        <w:tc>
          <w:tcPr>
            <w:tcW w:w="1710" w:type="dxa"/>
          </w:tcPr>
          <w:p w14:paraId="1A3A14F7"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Study methodology</w:t>
            </w:r>
          </w:p>
        </w:tc>
        <w:tc>
          <w:tcPr>
            <w:tcW w:w="1110" w:type="dxa"/>
          </w:tcPr>
          <w:p w14:paraId="4142FE34"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Sample</w:t>
            </w:r>
          </w:p>
        </w:tc>
        <w:tc>
          <w:tcPr>
            <w:tcW w:w="4455" w:type="dxa"/>
          </w:tcPr>
          <w:p w14:paraId="421EECC1"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Main findings</w:t>
            </w:r>
          </w:p>
        </w:tc>
        <w:tc>
          <w:tcPr>
            <w:tcW w:w="1290" w:type="dxa"/>
          </w:tcPr>
          <w:p w14:paraId="376D761D"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Measures</w:t>
            </w:r>
          </w:p>
        </w:tc>
        <w:tc>
          <w:tcPr>
            <w:tcW w:w="1005" w:type="dxa"/>
          </w:tcPr>
          <w:p w14:paraId="7D5913BE"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Country</w:t>
            </w:r>
          </w:p>
        </w:tc>
      </w:tr>
      <w:tr w:rsidR="00BC16EB" w14:paraId="693DE0E9" w14:textId="77777777">
        <w:trPr>
          <w:trHeight w:val="440"/>
        </w:trPr>
        <w:tc>
          <w:tcPr>
            <w:tcW w:w="525" w:type="dxa"/>
            <w:tcMar>
              <w:top w:w="100" w:type="dxa"/>
              <w:left w:w="100" w:type="dxa"/>
              <w:bottom w:w="100" w:type="dxa"/>
              <w:right w:w="100" w:type="dxa"/>
            </w:tcMar>
          </w:tcPr>
          <w:p w14:paraId="7BD9E566"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990" w:type="dxa"/>
            <w:tcMar>
              <w:top w:w="0" w:type="dxa"/>
              <w:left w:w="40" w:type="dxa"/>
              <w:bottom w:w="0" w:type="dxa"/>
              <w:right w:w="40" w:type="dxa"/>
            </w:tcMar>
          </w:tcPr>
          <w:p w14:paraId="7142867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2019</w:t>
            </w:r>
          </w:p>
        </w:tc>
        <w:tc>
          <w:tcPr>
            <w:tcW w:w="1110" w:type="dxa"/>
            <w:tcMar>
              <w:top w:w="0" w:type="dxa"/>
              <w:left w:w="40" w:type="dxa"/>
              <w:bottom w:w="0" w:type="dxa"/>
              <w:right w:w="40" w:type="dxa"/>
            </w:tcMar>
          </w:tcPr>
          <w:p w14:paraId="202D92B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Barnack-Tavlarisa J. L. , Hansena K., Levittb R. B., &amp; Renob M.</w:t>
            </w:r>
          </w:p>
        </w:tc>
        <w:tc>
          <w:tcPr>
            <w:tcW w:w="1770" w:type="dxa"/>
            <w:tcMar>
              <w:top w:w="0" w:type="dxa"/>
              <w:left w:w="40" w:type="dxa"/>
              <w:bottom w:w="0" w:type="dxa"/>
              <w:right w:w="40" w:type="dxa"/>
            </w:tcMar>
          </w:tcPr>
          <w:p w14:paraId="0F6270B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Taking leave to bleed: Perceptions and attitudes toward menstrual leave policy</w:t>
            </w:r>
          </w:p>
        </w:tc>
        <w:tc>
          <w:tcPr>
            <w:tcW w:w="1065" w:type="dxa"/>
            <w:tcMar>
              <w:top w:w="0" w:type="dxa"/>
              <w:left w:w="40" w:type="dxa"/>
              <w:bottom w:w="0" w:type="dxa"/>
              <w:right w:w="40" w:type="dxa"/>
            </w:tcMar>
          </w:tcPr>
          <w:p w14:paraId="4E89F39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Taylor and Francis Online</w:t>
            </w:r>
          </w:p>
        </w:tc>
        <w:tc>
          <w:tcPr>
            <w:tcW w:w="1710" w:type="dxa"/>
            <w:tcMar>
              <w:top w:w="0" w:type="dxa"/>
              <w:left w:w="40" w:type="dxa"/>
              <w:bottom w:w="0" w:type="dxa"/>
              <w:right w:w="40" w:type="dxa"/>
            </w:tcMar>
          </w:tcPr>
          <w:p w14:paraId="1D52D80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0E3634C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N = 600</w:t>
            </w:r>
          </w:p>
        </w:tc>
        <w:tc>
          <w:tcPr>
            <w:tcW w:w="4455" w:type="dxa"/>
            <w:tcMar>
              <w:top w:w="0" w:type="dxa"/>
              <w:left w:w="40" w:type="dxa"/>
              <w:bottom w:w="0" w:type="dxa"/>
              <w:right w:w="40" w:type="dxa"/>
            </w:tcMar>
          </w:tcPr>
          <w:p w14:paraId="50944F0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Around the theme of menstrual leave a lot of discussion is still happening, with contrasting opinions towards it. Many supported the introduction enumerating all the improvements it could provide, many others declared themselves against its introductions listing all the cons.</w:t>
            </w:r>
          </w:p>
        </w:tc>
        <w:tc>
          <w:tcPr>
            <w:tcW w:w="1290" w:type="dxa"/>
          </w:tcPr>
          <w:p w14:paraId="64A9708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w:t>
            </w:r>
          </w:p>
        </w:tc>
        <w:tc>
          <w:tcPr>
            <w:tcW w:w="1005" w:type="dxa"/>
            <w:tcMar>
              <w:top w:w="0" w:type="dxa"/>
              <w:left w:w="40" w:type="dxa"/>
              <w:bottom w:w="0" w:type="dxa"/>
              <w:right w:w="40" w:type="dxa"/>
            </w:tcMar>
          </w:tcPr>
          <w:p w14:paraId="534DC2F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6B5B8FE0" w14:textId="77777777">
        <w:trPr>
          <w:trHeight w:val="440"/>
        </w:trPr>
        <w:tc>
          <w:tcPr>
            <w:tcW w:w="525" w:type="dxa"/>
            <w:tcMar>
              <w:top w:w="100" w:type="dxa"/>
              <w:left w:w="100" w:type="dxa"/>
              <w:bottom w:w="100" w:type="dxa"/>
              <w:right w:w="100" w:type="dxa"/>
            </w:tcMar>
          </w:tcPr>
          <w:p w14:paraId="05EA40A9"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990" w:type="dxa"/>
            <w:tcBorders>
              <w:left w:val="single" w:sz="6" w:space="0" w:color="000000"/>
            </w:tcBorders>
            <w:tcMar>
              <w:top w:w="0" w:type="dxa"/>
              <w:left w:w="40" w:type="dxa"/>
              <w:bottom w:w="0" w:type="dxa"/>
              <w:right w:w="40" w:type="dxa"/>
            </w:tcMar>
          </w:tcPr>
          <w:p w14:paraId="06BF4A1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Mar>
              <w:top w:w="0" w:type="dxa"/>
              <w:left w:w="40" w:type="dxa"/>
              <w:bottom w:w="0" w:type="dxa"/>
              <w:right w:w="40" w:type="dxa"/>
            </w:tcMar>
          </w:tcPr>
          <w:p w14:paraId="738A451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Zaman, R. T, Mohiuddin, M. F, Zaman, Raisa Tasneem, Mohiuddin, Md Fazla</w:t>
            </w:r>
          </w:p>
        </w:tc>
        <w:tc>
          <w:tcPr>
            <w:tcW w:w="1770" w:type="dxa"/>
            <w:tcMar>
              <w:top w:w="0" w:type="dxa"/>
              <w:left w:w="40" w:type="dxa"/>
              <w:bottom w:w="0" w:type="dxa"/>
              <w:right w:w="40" w:type="dxa"/>
            </w:tcMar>
          </w:tcPr>
          <w:p w14:paraId="1A8A9E4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Impact of menstruation-related stigma and behavior on female employee performance in Bangladesh: mediating role of non-work related stress</w:t>
            </w:r>
          </w:p>
        </w:tc>
        <w:tc>
          <w:tcPr>
            <w:tcW w:w="1065" w:type="dxa"/>
            <w:tcMar>
              <w:top w:w="0" w:type="dxa"/>
              <w:left w:w="40" w:type="dxa"/>
              <w:bottom w:w="0" w:type="dxa"/>
              <w:right w:w="40" w:type="dxa"/>
            </w:tcMar>
          </w:tcPr>
          <w:p w14:paraId="52E64EA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SOUTH ASIAN JOURNAL OF BUSINESS STUDIES</w:t>
            </w:r>
          </w:p>
        </w:tc>
        <w:tc>
          <w:tcPr>
            <w:tcW w:w="1710" w:type="dxa"/>
            <w:tcMar>
              <w:top w:w="0" w:type="dxa"/>
              <w:left w:w="40" w:type="dxa"/>
              <w:bottom w:w="0" w:type="dxa"/>
              <w:right w:w="40" w:type="dxa"/>
            </w:tcMar>
          </w:tcPr>
          <w:p w14:paraId="6865109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Mar>
              <w:top w:w="0" w:type="dxa"/>
              <w:left w:w="40" w:type="dxa"/>
              <w:bottom w:w="0" w:type="dxa"/>
              <w:right w:w="40" w:type="dxa"/>
            </w:tcMar>
          </w:tcPr>
          <w:p w14:paraId="083B926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400</w:t>
            </w:r>
          </w:p>
        </w:tc>
        <w:tc>
          <w:tcPr>
            <w:tcW w:w="4455" w:type="dxa"/>
            <w:tcMar>
              <w:top w:w="0" w:type="dxa"/>
              <w:left w:w="40" w:type="dxa"/>
              <w:bottom w:w="0" w:type="dxa"/>
              <w:right w:w="40" w:type="dxa"/>
            </w:tcMar>
          </w:tcPr>
          <w:p w14:paraId="706D6AA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This study shows that menstruation-related stigma leads to a significant deterioration in task performance. The stigma triggers feelings of shame and discomfort in menstruating women, which affects their productivity at work. This stigma is prevalent even among highly educated female employees, emphasising the need for organisational and policy changes to address this hidden source of stress.The study identifies specific behaviours that are influenced by </w:t>
            </w:r>
            <w:r>
              <w:rPr>
                <w:rFonts w:ascii="Times New Roman" w:eastAsia="Times New Roman" w:hAnsi="Times New Roman" w:cs="Times New Roman"/>
                <w:sz w:val="18"/>
                <w:szCs w:val="18"/>
              </w:rPr>
              <w:lastRenderedPageBreak/>
              <w:t>the stigma of menstruation, such as women avoiding work or staying home during menstruation due to societal norms or hygiene concerns. These behaviours, which are driven by cultural and social expectations, reduce women's participation in the workforce and their performance. In addition, the research shows that non-work-related stress mediates the relationship between stigma and performance. This stress compounds the already harmful effects of societal discrimination and exacerbates the challenges menstruat</w:t>
            </w:r>
            <w:r>
              <w:rPr>
                <w:rFonts w:ascii="Times New Roman" w:eastAsia="Times New Roman" w:hAnsi="Times New Roman" w:cs="Times New Roman"/>
                <w:sz w:val="18"/>
                <w:szCs w:val="18"/>
              </w:rPr>
              <w:t>ing women face in the workplace.</w:t>
            </w:r>
          </w:p>
        </w:tc>
        <w:tc>
          <w:tcPr>
            <w:tcW w:w="1290" w:type="dxa"/>
            <w:tcMar>
              <w:top w:w="0" w:type="dxa"/>
              <w:left w:w="40" w:type="dxa"/>
              <w:bottom w:w="0" w:type="dxa"/>
              <w:right w:w="40" w:type="dxa"/>
            </w:tcMar>
          </w:tcPr>
          <w:p w14:paraId="30A1DA6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Survey</w:t>
            </w:r>
          </w:p>
        </w:tc>
        <w:tc>
          <w:tcPr>
            <w:tcW w:w="1005" w:type="dxa"/>
            <w:tcMar>
              <w:top w:w="0" w:type="dxa"/>
              <w:left w:w="40" w:type="dxa"/>
              <w:bottom w:w="0" w:type="dxa"/>
              <w:right w:w="40" w:type="dxa"/>
            </w:tcMar>
          </w:tcPr>
          <w:p w14:paraId="4C44180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Bangladesh</w:t>
            </w:r>
          </w:p>
        </w:tc>
      </w:tr>
      <w:tr w:rsidR="00BC16EB" w14:paraId="0CEF2F8D" w14:textId="77777777">
        <w:trPr>
          <w:trHeight w:val="440"/>
        </w:trPr>
        <w:tc>
          <w:tcPr>
            <w:tcW w:w="525" w:type="dxa"/>
            <w:tcMar>
              <w:top w:w="100" w:type="dxa"/>
              <w:left w:w="100" w:type="dxa"/>
              <w:bottom w:w="100" w:type="dxa"/>
              <w:right w:w="100" w:type="dxa"/>
            </w:tcMar>
          </w:tcPr>
          <w:p w14:paraId="32AB6675"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990" w:type="dxa"/>
            <w:tcMar>
              <w:top w:w="0" w:type="dxa"/>
              <w:left w:w="40" w:type="dxa"/>
              <w:bottom w:w="0" w:type="dxa"/>
              <w:right w:w="40" w:type="dxa"/>
            </w:tcMar>
          </w:tcPr>
          <w:p w14:paraId="7486678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top w:val="single" w:sz="6" w:space="0" w:color="000000"/>
            </w:tcBorders>
            <w:tcMar>
              <w:top w:w="0" w:type="dxa"/>
              <w:left w:w="40" w:type="dxa"/>
              <w:bottom w:w="0" w:type="dxa"/>
              <w:right w:w="40" w:type="dxa"/>
            </w:tcMar>
          </w:tcPr>
          <w:p w14:paraId="633D80E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Hardy, C., &amp; Hunter, M. S.</w:t>
            </w:r>
          </w:p>
        </w:tc>
        <w:tc>
          <w:tcPr>
            <w:tcW w:w="1770" w:type="dxa"/>
            <w:tcBorders>
              <w:top w:val="single" w:sz="6" w:space="0" w:color="000000"/>
            </w:tcBorders>
            <w:tcMar>
              <w:top w:w="0" w:type="dxa"/>
              <w:left w:w="40" w:type="dxa"/>
              <w:bottom w:w="0" w:type="dxa"/>
              <w:right w:w="40" w:type="dxa"/>
            </w:tcMar>
          </w:tcPr>
          <w:p w14:paraId="4986EAD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Premenstrual symptoms and work: exploring female staff experiences and recommendations for workplaces</w:t>
            </w:r>
          </w:p>
        </w:tc>
        <w:tc>
          <w:tcPr>
            <w:tcW w:w="1065" w:type="dxa"/>
            <w:tcBorders>
              <w:top w:val="single" w:sz="6" w:space="0" w:color="000000"/>
            </w:tcBorders>
            <w:tcMar>
              <w:top w:w="0" w:type="dxa"/>
              <w:left w:w="40" w:type="dxa"/>
              <w:bottom w:w="0" w:type="dxa"/>
              <w:right w:w="40" w:type="dxa"/>
            </w:tcMar>
          </w:tcPr>
          <w:p w14:paraId="57ED356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International journal of environmental research and public health</w:t>
            </w:r>
          </w:p>
        </w:tc>
        <w:tc>
          <w:tcPr>
            <w:tcW w:w="1710" w:type="dxa"/>
            <w:tcBorders>
              <w:top w:val="single" w:sz="6" w:space="0" w:color="000000"/>
            </w:tcBorders>
            <w:tcMar>
              <w:top w:w="0" w:type="dxa"/>
              <w:left w:w="40" w:type="dxa"/>
              <w:bottom w:w="0" w:type="dxa"/>
              <w:right w:w="40" w:type="dxa"/>
            </w:tcMar>
          </w:tcPr>
          <w:p w14:paraId="4226290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Cross-Sectional Study </w:t>
            </w:r>
          </w:p>
        </w:tc>
        <w:tc>
          <w:tcPr>
            <w:tcW w:w="1110" w:type="dxa"/>
            <w:tcBorders>
              <w:top w:val="single" w:sz="6" w:space="0" w:color="000000"/>
            </w:tcBorders>
            <w:tcMar>
              <w:top w:w="0" w:type="dxa"/>
              <w:left w:w="40" w:type="dxa"/>
              <w:bottom w:w="0" w:type="dxa"/>
              <w:right w:w="40" w:type="dxa"/>
            </w:tcMar>
          </w:tcPr>
          <w:p w14:paraId="4CFFBF8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125</w:t>
            </w:r>
          </w:p>
        </w:tc>
        <w:tc>
          <w:tcPr>
            <w:tcW w:w="4455" w:type="dxa"/>
            <w:tcBorders>
              <w:top w:val="single" w:sz="6" w:space="0" w:color="000000"/>
            </w:tcBorders>
            <w:tcMar>
              <w:top w:w="0" w:type="dxa"/>
              <w:left w:w="40" w:type="dxa"/>
              <w:bottom w:w="0" w:type="dxa"/>
              <w:right w:w="40" w:type="dxa"/>
            </w:tcMar>
          </w:tcPr>
          <w:p w14:paraId="0A62EE9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Interviewed PWM described six areas of support that would be ideal in the workplace: Acknowledgement, understanding and acceptance; Flexibility and workload adjustment;The Physical work environment and absence management; Talking and use of language; Health and wellbeing resources and Procedures and policies.</w:t>
            </w:r>
          </w:p>
        </w:tc>
        <w:tc>
          <w:tcPr>
            <w:tcW w:w="1290" w:type="dxa"/>
          </w:tcPr>
          <w:p w14:paraId="1068D7B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w:t>
            </w:r>
          </w:p>
        </w:tc>
        <w:tc>
          <w:tcPr>
            <w:tcW w:w="1005" w:type="dxa"/>
            <w:tcBorders>
              <w:top w:val="single" w:sz="6" w:space="0" w:color="000000"/>
            </w:tcBorders>
            <w:tcMar>
              <w:top w:w="0" w:type="dxa"/>
              <w:left w:w="40" w:type="dxa"/>
              <w:bottom w:w="0" w:type="dxa"/>
              <w:right w:w="40" w:type="dxa"/>
            </w:tcMar>
          </w:tcPr>
          <w:p w14:paraId="2127BFA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798117C9" w14:textId="77777777">
        <w:trPr>
          <w:trHeight w:val="440"/>
        </w:trPr>
        <w:tc>
          <w:tcPr>
            <w:tcW w:w="525" w:type="dxa"/>
            <w:tcMar>
              <w:top w:w="100" w:type="dxa"/>
              <w:left w:w="100" w:type="dxa"/>
              <w:bottom w:w="100" w:type="dxa"/>
              <w:right w:w="100" w:type="dxa"/>
            </w:tcMar>
          </w:tcPr>
          <w:p w14:paraId="4EFFE034"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990" w:type="dxa"/>
            <w:tcMar>
              <w:top w:w="0" w:type="dxa"/>
              <w:left w:w="40" w:type="dxa"/>
              <w:bottom w:w="0" w:type="dxa"/>
              <w:right w:w="40" w:type="dxa"/>
            </w:tcMar>
          </w:tcPr>
          <w:p w14:paraId="49491CA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Mar>
              <w:top w:w="0" w:type="dxa"/>
              <w:left w:w="40" w:type="dxa"/>
              <w:bottom w:w="0" w:type="dxa"/>
              <w:right w:w="40" w:type="dxa"/>
            </w:tcMar>
          </w:tcPr>
          <w:p w14:paraId="14DC425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Sang K., Remnant J., Calvard T. &amp; Myhill K.</w:t>
            </w:r>
          </w:p>
        </w:tc>
        <w:tc>
          <w:tcPr>
            <w:tcW w:w="1770" w:type="dxa"/>
            <w:tcMar>
              <w:top w:w="0" w:type="dxa"/>
              <w:left w:w="40" w:type="dxa"/>
              <w:bottom w:w="0" w:type="dxa"/>
              <w:right w:w="40" w:type="dxa"/>
            </w:tcMar>
          </w:tcPr>
          <w:p w14:paraId="60EA45D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Blood Work: Managing Menstruation, Menopause and </w:t>
            </w:r>
            <w:r>
              <w:rPr>
                <w:rFonts w:ascii="Times New Roman" w:eastAsia="Times New Roman" w:hAnsi="Times New Roman" w:cs="Times New Roman"/>
                <w:sz w:val="18"/>
                <w:szCs w:val="18"/>
              </w:rPr>
              <w:lastRenderedPageBreak/>
              <w:t>Gynaecological Health Conditions in the Workplace</w:t>
            </w:r>
          </w:p>
        </w:tc>
        <w:tc>
          <w:tcPr>
            <w:tcW w:w="1065" w:type="dxa"/>
            <w:tcMar>
              <w:top w:w="0" w:type="dxa"/>
              <w:left w:w="40" w:type="dxa"/>
              <w:bottom w:w="0" w:type="dxa"/>
              <w:right w:w="40" w:type="dxa"/>
            </w:tcMar>
          </w:tcPr>
          <w:p w14:paraId="16855BF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International Journal of Environmental Research </w:t>
            </w:r>
            <w:r>
              <w:rPr>
                <w:rFonts w:ascii="Times New Roman" w:eastAsia="Times New Roman" w:hAnsi="Times New Roman" w:cs="Times New Roman"/>
                <w:sz w:val="18"/>
                <w:szCs w:val="18"/>
              </w:rPr>
              <w:lastRenderedPageBreak/>
              <w:t>and Public Health</w:t>
            </w:r>
          </w:p>
        </w:tc>
        <w:tc>
          <w:tcPr>
            <w:tcW w:w="1710" w:type="dxa"/>
            <w:tcMar>
              <w:top w:w="0" w:type="dxa"/>
              <w:left w:w="40" w:type="dxa"/>
              <w:bottom w:w="0" w:type="dxa"/>
              <w:right w:w="40" w:type="dxa"/>
            </w:tcMar>
          </w:tcPr>
          <w:p w14:paraId="1524C71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Qualitative Study</w:t>
            </w:r>
          </w:p>
        </w:tc>
        <w:tc>
          <w:tcPr>
            <w:tcW w:w="1110" w:type="dxa"/>
            <w:tcMar>
              <w:top w:w="0" w:type="dxa"/>
              <w:left w:w="40" w:type="dxa"/>
              <w:bottom w:w="0" w:type="dxa"/>
              <w:right w:w="40" w:type="dxa"/>
            </w:tcMar>
          </w:tcPr>
          <w:p w14:paraId="3EF6094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627</w:t>
            </w:r>
          </w:p>
        </w:tc>
        <w:tc>
          <w:tcPr>
            <w:tcW w:w="4455" w:type="dxa"/>
            <w:tcMar>
              <w:top w:w="0" w:type="dxa"/>
              <w:left w:w="40" w:type="dxa"/>
              <w:bottom w:w="0" w:type="dxa"/>
              <w:right w:w="40" w:type="dxa"/>
            </w:tcMar>
          </w:tcPr>
          <w:p w14:paraId="7FCEDFC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Results showed the struggle that many workers that experience menstruation need to face, often resulting as an interference in the work schedule. Presenteeism habits have often been found among the PWM interviewed. Many </w:t>
            </w:r>
            <w:r>
              <w:rPr>
                <w:rFonts w:ascii="Times New Roman" w:eastAsia="Times New Roman" w:hAnsi="Times New Roman" w:cs="Times New Roman"/>
                <w:sz w:val="18"/>
                <w:szCs w:val="18"/>
              </w:rPr>
              <w:lastRenderedPageBreak/>
              <w:t>respondents reported not disclosing themselves to avoid any chances of being victims of stigma and/or shame, that gynaecological health was not meant to be shared in the workplace. These kinds of thoughts were particularly common in male dominated environments and had a link to presenteeism habits.</w:t>
            </w:r>
          </w:p>
        </w:tc>
        <w:tc>
          <w:tcPr>
            <w:tcW w:w="1290" w:type="dxa"/>
          </w:tcPr>
          <w:p w14:paraId="3E6BC03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Survey with open-ended</w:t>
            </w:r>
          </w:p>
          <w:p w14:paraId="46B9DF9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questions</w:t>
            </w:r>
          </w:p>
          <w:p w14:paraId="63C45782" w14:textId="77777777" w:rsidR="00BC16EB" w:rsidRDefault="00BC16EB">
            <w:pPr>
              <w:spacing w:line="480" w:lineRule="auto"/>
              <w:rPr>
                <w:rFonts w:ascii="Times New Roman" w:eastAsia="Times New Roman" w:hAnsi="Times New Roman" w:cs="Times New Roman"/>
                <w:sz w:val="18"/>
                <w:szCs w:val="18"/>
              </w:rPr>
            </w:pPr>
          </w:p>
        </w:tc>
        <w:tc>
          <w:tcPr>
            <w:tcW w:w="1005" w:type="dxa"/>
            <w:tcMar>
              <w:top w:w="0" w:type="dxa"/>
              <w:left w:w="40" w:type="dxa"/>
              <w:bottom w:w="0" w:type="dxa"/>
              <w:right w:w="40" w:type="dxa"/>
            </w:tcMar>
          </w:tcPr>
          <w:p w14:paraId="7E5E0F6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57877B8E" w14:textId="77777777">
        <w:trPr>
          <w:trHeight w:val="440"/>
        </w:trPr>
        <w:tc>
          <w:tcPr>
            <w:tcW w:w="525" w:type="dxa"/>
            <w:tcMar>
              <w:top w:w="100" w:type="dxa"/>
              <w:left w:w="100" w:type="dxa"/>
              <w:bottom w:w="100" w:type="dxa"/>
              <w:right w:w="100" w:type="dxa"/>
            </w:tcMar>
          </w:tcPr>
          <w:p w14:paraId="687A7D84"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990" w:type="dxa"/>
            <w:tcBorders>
              <w:top w:val="single" w:sz="6" w:space="0" w:color="000000"/>
            </w:tcBorders>
            <w:tcMar>
              <w:top w:w="0" w:type="dxa"/>
              <w:left w:w="40" w:type="dxa"/>
              <w:bottom w:w="0" w:type="dxa"/>
              <w:right w:w="40" w:type="dxa"/>
            </w:tcMar>
          </w:tcPr>
          <w:p w14:paraId="3E2E28C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tcBorders>
            <w:tcMar>
              <w:top w:w="0" w:type="dxa"/>
              <w:left w:w="40" w:type="dxa"/>
              <w:bottom w:w="0" w:type="dxa"/>
              <w:right w:w="40" w:type="dxa"/>
            </w:tcMar>
          </w:tcPr>
          <w:p w14:paraId="0BDEABB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Ponzo S. , Wickham A., Bamford R., Radovic T., Zhaunova L., Peven K., Klepchukova A. &amp; Payne L.</w:t>
            </w:r>
          </w:p>
        </w:tc>
        <w:tc>
          <w:tcPr>
            <w:tcW w:w="1770" w:type="dxa"/>
            <w:tcBorders>
              <w:top w:val="single" w:sz="6" w:space="0" w:color="000000"/>
            </w:tcBorders>
            <w:tcMar>
              <w:top w:w="0" w:type="dxa"/>
              <w:left w:w="40" w:type="dxa"/>
              <w:bottom w:w="0" w:type="dxa"/>
              <w:right w:w="40" w:type="dxa"/>
            </w:tcMar>
          </w:tcPr>
          <w:p w14:paraId="786D598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Menstrual cycle-associated symptoms and workplace productivity in US employees: A cross-sectional survey of users of the Flo mobile phone app</w:t>
            </w:r>
          </w:p>
        </w:tc>
        <w:tc>
          <w:tcPr>
            <w:tcW w:w="1065" w:type="dxa"/>
            <w:tcBorders>
              <w:top w:val="single" w:sz="6" w:space="0" w:color="000000"/>
            </w:tcBorders>
            <w:tcMar>
              <w:top w:w="0" w:type="dxa"/>
              <w:left w:w="40" w:type="dxa"/>
              <w:bottom w:w="0" w:type="dxa"/>
              <w:right w:w="40" w:type="dxa"/>
            </w:tcMar>
          </w:tcPr>
          <w:p w14:paraId="16105AA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Sage Journals Home</w:t>
            </w:r>
          </w:p>
        </w:tc>
        <w:tc>
          <w:tcPr>
            <w:tcW w:w="1710" w:type="dxa"/>
            <w:tcBorders>
              <w:top w:val="single" w:sz="6" w:space="0" w:color="000000"/>
            </w:tcBorders>
            <w:tcMar>
              <w:top w:w="0" w:type="dxa"/>
              <w:left w:w="40" w:type="dxa"/>
              <w:bottom w:w="0" w:type="dxa"/>
              <w:right w:w="40" w:type="dxa"/>
            </w:tcMar>
          </w:tcPr>
          <w:p w14:paraId="0C734F0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Borders>
              <w:top w:val="single" w:sz="6" w:space="0" w:color="000000"/>
            </w:tcBorders>
            <w:tcMar>
              <w:top w:w="0" w:type="dxa"/>
              <w:left w:w="40" w:type="dxa"/>
              <w:bottom w:w="0" w:type="dxa"/>
              <w:right w:w="40" w:type="dxa"/>
            </w:tcMar>
          </w:tcPr>
          <w:p w14:paraId="3EAB918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1867</w:t>
            </w:r>
          </w:p>
        </w:tc>
        <w:tc>
          <w:tcPr>
            <w:tcW w:w="4455" w:type="dxa"/>
            <w:tcBorders>
              <w:top w:val="single" w:sz="6" w:space="0" w:color="000000"/>
            </w:tcBorders>
            <w:tcMar>
              <w:top w:w="0" w:type="dxa"/>
              <w:left w:w="40" w:type="dxa"/>
              <w:bottom w:w="0" w:type="dxa"/>
              <w:right w:w="40" w:type="dxa"/>
            </w:tcMar>
          </w:tcPr>
          <w:p w14:paraId="56FA43D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Introducing a digital health tool, such as the Flo app, would play an important role in enhancing the benefits that many others facilitating working policies would provide to PWM.</w:t>
            </w:r>
          </w:p>
        </w:tc>
        <w:tc>
          <w:tcPr>
            <w:tcW w:w="1290" w:type="dxa"/>
          </w:tcPr>
          <w:p w14:paraId="5A09E64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w:t>
            </w:r>
          </w:p>
          <w:p w14:paraId="48D4E539" w14:textId="77777777" w:rsidR="00BC16EB" w:rsidRDefault="00BC16EB">
            <w:pPr>
              <w:spacing w:line="480" w:lineRule="auto"/>
              <w:rPr>
                <w:rFonts w:ascii="Times New Roman" w:eastAsia="Times New Roman" w:hAnsi="Times New Roman" w:cs="Times New Roman"/>
                <w:sz w:val="18"/>
                <w:szCs w:val="18"/>
              </w:rPr>
            </w:pPr>
          </w:p>
        </w:tc>
        <w:tc>
          <w:tcPr>
            <w:tcW w:w="1005" w:type="dxa"/>
            <w:tcBorders>
              <w:top w:val="single" w:sz="6" w:space="0" w:color="000000"/>
            </w:tcBorders>
            <w:tcMar>
              <w:top w:w="0" w:type="dxa"/>
              <w:left w:w="40" w:type="dxa"/>
              <w:bottom w:w="0" w:type="dxa"/>
              <w:right w:w="40" w:type="dxa"/>
            </w:tcMar>
          </w:tcPr>
          <w:p w14:paraId="2A6A9FF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 Germany, USA</w:t>
            </w:r>
          </w:p>
        </w:tc>
      </w:tr>
      <w:tr w:rsidR="00BC16EB" w14:paraId="618D2B17" w14:textId="77777777">
        <w:trPr>
          <w:trHeight w:val="440"/>
        </w:trPr>
        <w:tc>
          <w:tcPr>
            <w:tcW w:w="525" w:type="dxa"/>
            <w:tcMar>
              <w:top w:w="100" w:type="dxa"/>
              <w:left w:w="100" w:type="dxa"/>
              <w:bottom w:w="100" w:type="dxa"/>
              <w:right w:w="100" w:type="dxa"/>
            </w:tcMar>
          </w:tcPr>
          <w:p w14:paraId="039BD29A"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990" w:type="dxa"/>
            <w:tcBorders>
              <w:top w:val="single" w:sz="6" w:space="0" w:color="000000"/>
              <w:left w:val="single" w:sz="6" w:space="0" w:color="000000"/>
            </w:tcBorders>
            <w:tcMar>
              <w:top w:w="0" w:type="dxa"/>
              <w:left w:w="40" w:type="dxa"/>
              <w:bottom w:w="0" w:type="dxa"/>
              <w:right w:w="40" w:type="dxa"/>
            </w:tcMar>
          </w:tcPr>
          <w:p w14:paraId="0BEB138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Borders>
              <w:top w:val="single" w:sz="6" w:space="0" w:color="000000"/>
            </w:tcBorders>
            <w:tcMar>
              <w:top w:w="0" w:type="dxa"/>
              <w:left w:w="40" w:type="dxa"/>
              <w:bottom w:w="0" w:type="dxa"/>
              <w:right w:w="40" w:type="dxa"/>
            </w:tcMar>
          </w:tcPr>
          <w:p w14:paraId="5458AA4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Cook, A., &amp; van den Hoek, R.</w:t>
            </w:r>
          </w:p>
        </w:tc>
        <w:tc>
          <w:tcPr>
            <w:tcW w:w="1770" w:type="dxa"/>
            <w:tcBorders>
              <w:top w:val="single" w:sz="6" w:space="0" w:color="000000"/>
            </w:tcBorders>
            <w:tcMar>
              <w:top w:w="0" w:type="dxa"/>
              <w:left w:w="40" w:type="dxa"/>
              <w:bottom w:w="0" w:type="dxa"/>
              <w:right w:w="40" w:type="dxa"/>
            </w:tcMar>
          </w:tcPr>
          <w:p w14:paraId="68898B9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Period pain presenteeism: investigating associations of working while </w:t>
            </w:r>
            <w:r>
              <w:rPr>
                <w:rFonts w:ascii="Times New Roman" w:eastAsia="Times New Roman" w:hAnsi="Times New Roman" w:cs="Times New Roman"/>
                <w:sz w:val="18"/>
                <w:szCs w:val="18"/>
              </w:rPr>
              <w:lastRenderedPageBreak/>
              <w:t>experiencing dysmenorrhea</w:t>
            </w:r>
          </w:p>
        </w:tc>
        <w:tc>
          <w:tcPr>
            <w:tcW w:w="1065" w:type="dxa"/>
            <w:tcBorders>
              <w:top w:val="single" w:sz="6" w:space="0" w:color="000000"/>
            </w:tcBorders>
            <w:tcMar>
              <w:top w:w="0" w:type="dxa"/>
              <w:left w:w="40" w:type="dxa"/>
              <w:bottom w:w="0" w:type="dxa"/>
              <w:right w:w="40" w:type="dxa"/>
            </w:tcMar>
          </w:tcPr>
          <w:p w14:paraId="7FBDB86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Journal of Psychosomatic Obstetrics &amp; Gynecology</w:t>
            </w:r>
          </w:p>
        </w:tc>
        <w:tc>
          <w:tcPr>
            <w:tcW w:w="1710" w:type="dxa"/>
            <w:tcBorders>
              <w:top w:val="single" w:sz="6" w:space="0" w:color="000000"/>
            </w:tcBorders>
            <w:tcMar>
              <w:top w:w="0" w:type="dxa"/>
              <w:left w:w="40" w:type="dxa"/>
              <w:bottom w:w="0" w:type="dxa"/>
              <w:right w:w="40" w:type="dxa"/>
            </w:tcMar>
          </w:tcPr>
          <w:p w14:paraId="2C578A3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Borders>
              <w:top w:val="single" w:sz="6" w:space="0" w:color="000000"/>
            </w:tcBorders>
            <w:tcMar>
              <w:top w:w="0" w:type="dxa"/>
              <w:left w:w="40" w:type="dxa"/>
              <w:bottom w:w="0" w:type="dxa"/>
              <w:right w:w="40" w:type="dxa"/>
            </w:tcMar>
          </w:tcPr>
          <w:p w14:paraId="355DB77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668</w:t>
            </w:r>
          </w:p>
        </w:tc>
        <w:tc>
          <w:tcPr>
            <w:tcW w:w="4455" w:type="dxa"/>
            <w:tcBorders>
              <w:top w:val="single" w:sz="6" w:space="0" w:color="000000"/>
            </w:tcBorders>
            <w:tcMar>
              <w:top w:w="0" w:type="dxa"/>
              <w:left w:w="40" w:type="dxa"/>
              <w:bottom w:w="0" w:type="dxa"/>
              <w:right w:w="40" w:type="dxa"/>
            </w:tcMar>
          </w:tcPr>
          <w:p w14:paraId="67535FF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Results showed that symptoms severity, having received a diagnosis, the number of days off work needed and the leaders gender had a correlation with the probability of disclosing their menstrual issues in the workplace.</w:t>
            </w:r>
          </w:p>
        </w:tc>
        <w:tc>
          <w:tcPr>
            <w:tcW w:w="1290" w:type="dxa"/>
            <w:tcBorders>
              <w:right w:val="single" w:sz="6" w:space="0" w:color="000000"/>
            </w:tcBorders>
            <w:tcMar>
              <w:top w:w="0" w:type="dxa"/>
              <w:left w:w="40" w:type="dxa"/>
              <w:bottom w:w="0" w:type="dxa"/>
              <w:right w:w="40" w:type="dxa"/>
            </w:tcMar>
          </w:tcPr>
          <w:p w14:paraId="0496430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Questionnaire</w:t>
            </w:r>
          </w:p>
        </w:tc>
        <w:tc>
          <w:tcPr>
            <w:tcW w:w="1005" w:type="dxa"/>
            <w:tcBorders>
              <w:top w:val="single" w:sz="6" w:space="0" w:color="000000"/>
            </w:tcBorders>
            <w:tcMar>
              <w:top w:w="0" w:type="dxa"/>
              <w:left w:w="40" w:type="dxa"/>
              <w:bottom w:w="0" w:type="dxa"/>
              <w:right w:w="40" w:type="dxa"/>
            </w:tcMar>
          </w:tcPr>
          <w:p w14:paraId="13954BE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Netherland</w:t>
            </w:r>
          </w:p>
        </w:tc>
      </w:tr>
      <w:tr w:rsidR="00BC16EB" w14:paraId="42114100" w14:textId="77777777">
        <w:trPr>
          <w:trHeight w:val="440"/>
        </w:trPr>
        <w:tc>
          <w:tcPr>
            <w:tcW w:w="15030" w:type="dxa"/>
            <w:gridSpan w:val="10"/>
            <w:tcMar>
              <w:top w:w="100" w:type="dxa"/>
              <w:left w:w="100" w:type="dxa"/>
              <w:bottom w:w="100" w:type="dxa"/>
              <w:right w:w="100" w:type="dxa"/>
            </w:tcMar>
          </w:tcPr>
          <w:p w14:paraId="7FBAF335" w14:textId="77777777" w:rsidR="00BC16EB" w:rsidRDefault="005714A1">
            <w:pPr>
              <w:widowControl w:val="0"/>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Maternity</w:t>
            </w:r>
          </w:p>
        </w:tc>
      </w:tr>
      <w:tr w:rsidR="00BC16EB" w14:paraId="6700B762" w14:textId="77777777">
        <w:trPr>
          <w:trHeight w:val="440"/>
        </w:trPr>
        <w:tc>
          <w:tcPr>
            <w:tcW w:w="525" w:type="dxa"/>
          </w:tcPr>
          <w:p w14:paraId="2AF76382"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ID</w:t>
            </w:r>
          </w:p>
        </w:tc>
        <w:tc>
          <w:tcPr>
            <w:tcW w:w="990" w:type="dxa"/>
          </w:tcPr>
          <w:p w14:paraId="6FB14924" w14:textId="77777777" w:rsidR="00BC16EB" w:rsidRDefault="005714A1">
            <w:pPr>
              <w:spacing w:line="48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8"/>
                <w:szCs w:val="18"/>
              </w:rPr>
              <w:t xml:space="preserve">Year of </w:t>
            </w:r>
            <w:r>
              <w:rPr>
                <w:rFonts w:ascii="Times New Roman" w:eastAsia="Times New Roman" w:hAnsi="Times New Roman" w:cs="Times New Roman"/>
                <w:b/>
                <w:sz w:val="16"/>
                <w:szCs w:val="16"/>
              </w:rPr>
              <w:t>publication</w:t>
            </w:r>
          </w:p>
        </w:tc>
        <w:tc>
          <w:tcPr>
            <w:tcW w:w="1110" w:type="dxa"/>
          </w:tcPr>
          <w:p w14:paraId="7F4FDEE3"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Authors</w:t>
            </w:r>
          </w:p>
        </w:tc>
        <w:tc>
          <w:tcPr>
            <w:tcW w:w="1770" w:type="dxa"/>
          </w:tcPr>
          <w:p w14:paraId="3626B190"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Title</w:t>
            </w:r>
          </w:p>
        </w:tc>
        <w:tc>
          <w:tcPr>
            <w:tcW w:w="1065" w:type="dxa"/>
          </w:tcPr>
          <w:p w14:paraId="0576A7F9"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Journal</w:t>
            </w:r>
          </w:p>
        </w:tc>
        <w:tc>
          <w:tcPr>
            <w:tcW w:w="1710" w:type="dxa"/>
          </w:tcPr>
          <w:p w14:paraId="3416B9F3"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Study methodology</w:t>
            </w:r>
          </w:p>
        </w:tc>
        <w:tc>
          <w:tcPr>
            <w:tcW w:w="1110" w:type="dxa"/>
          </w:tcPr>
          <w:p w14:paraId="66E8657C"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Sample</w:t>
            </w:r>
          </w:p>
        </w:tc>
        <w:tc>
          <w:tcPr>
            <w:tcW w:w="4455" w:type="dxa"/>
          </w:tcPr>
          <w:p w14:paraId="7C8A2773"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Main findings</w:t>
            </w:r>
          </w:p>
        </w:tc>
        <w:tc>
          <w:tcPr>
            <w:tcW w:w="1290" w:type="dxa"/>
          </w:tcPr>
          <w:p w14:paraId="5B186C13"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Measures</w:t>
            </w:r>
          </w:p>
        </w:tc>
        <w:tc>
          <w:tcPr>
            <w:tcW w:w="1005" w:type="dxa"/>
          </w:tcPr>
          <w:p w14:paraId="52F6F423"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Country</w:t>
            </w:r>
          </w:p>
        </w:tc>
      </w:tr>
      <w:tr w:rsidR="00BC16EB" w14:paraId="39EBB602" w14:textId="77777777">
        <w:trPr>
          <w:trHeight w:val="440"/>
        </w:trPr>
        <w:tc>
          <w:tcPr>
            <w:tcW w:w="525" w:type="dxa"/>
            <w:tcMar>
              <w:top w:w="100" w:type="dxa"/>
              <w:left w:w="100" w:type="dxa"/>
              <w:bottom w:w="100" w:type="dxa"/>
              <w:right w:w="100" w:type="dxa"/>
            </w:tcMar>
          </w:tcPr>
          <w:p w14:paraId="21880E2F"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B94E3E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2011a</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9F83C6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Gatrell, C.</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331543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Managing the maternal body: A comprehensive review and transdisciplinary analysis</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679A3C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International Journal of Management Reviews</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38D715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Systematic </w:t>
            </w:r>
          </w:p>
          <w:p w14:paraId="54422BA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Review </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990F0E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It does not have a defined sample size like a traditional research study would. </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877460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 analysing the disparity between policy</w:t>
            </w:r>
          </w:p>
          <w:p w14:paraId="32C57E0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and practice, the review identifies gaps within the field of research on the employed maternal body. It then shows how perceptions about the pregnant and newly maternal bodies are based more on myth than on evidence. In keeping with policies encouraging family friendly working practices and aimed at enhancing parental health, the paper</w:t>
            </w:r>
          </w:p>
          <w:p w14:paraId="5D80174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argues that research on the maternal body is integral to management studies.</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609BEA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Review</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EE31D6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7CD87A7E" w14:textId="77777777">
        <w:trPr>
          <w:trHeight w:val="440"/>
        </w:trPr>
        <w:tc>
          <w:tcPr>
            <w:tcW w:w="525" w:type="dxa"/>
            <w:tcMar>
              <w:top w:w="100" w:type="dxa"/>
              <w:left w:w="100" w:type="dxa"/>
              <w:bottom w:w="100" w:type="dxa"/>
              <w:right w:w="100" w:type="dxa"/>
            </w:tcMar>
          </w:tcPr>
          <w:p w14:paraId="22B25068"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2DC36BE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2011b</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D0FCA7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Gatrell, C.</w:t>
            </w:r>
          </w:p>
        </w:tc>
        <w:tc>
          <w:tcPr>
            <w:tcW w:w="1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21D65A7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Policy and the pregnant body at work: Strategies of secrecy, silence and superperformance</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37598C6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Gender, Work &amp; Organization</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16B367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91522D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2.145 post</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AE5462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Drawing upon ‘expert advice’ and the experiences of employed pregnant women in this study, I suggest that the bodily manifestations of pregnancy are taboo in some workplaces. I note how these women did not appear to draw upon policy as a resource for dealing with negative reactions </w:t>
            </w:r>
            <w:r>
              <w:rPr>
                <w:rFonts w:ascii="Times New Roman" w:eastAsia="Times New Roman" w:hAnsi="Times New Roman" w:cs="Times New Roman"/>
                <w:sz w:val="18"/>
                <w:szCs w:val="18"/>
              </w:rPr>
              <w:lastRenderedPageBreak/>
              <w:t>to pregnancy from colleagues and employers. Instead, they tended to adopt strategies of secrecy, silence and supra-performance in order to try and blend in. In the context of these strategies, I demonstrate how women’s attempts to manage and control their bodies are severely compromised during pregnancy, when the body may be leaky and unpredictable.</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8C11B2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131314"/>
                <w:sz w:val="18"/>
                <w:szCs w:val="18"/>
                <w:highlight w:val="white"/>
              </w:rPr>
              <w:lastRenderedPageBreak/>
              <w:t>Interactive websites or chat rooms</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33C56B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UK </w:t>
            </w:r>
          </w:p>
        </w:tc>
      </w:tr>
      <w:tr w:rsidR="00BC16EB" w14:paraId="2F1BAE8B" w14:textId="77777777">
        <w:trPr>
          <w:trHeight w:val="440"/>
        </w:trPr>
        <w:tc>
          <w:tcPr>
            <w:tcW w:w="525" w:type="dxa"/>
            <w:tcMar>
              <w:top w:w="100" w:type="dxa"/>
              <w:left w:w="100" w:type="dxa"/>
              <w:bottom w:w="100" w:type="dxa"/>
              <w:right w:w="100" w:type="dxa"/>
            </w:tcMar>
          </w:tcPr>
          <w:p w14:paraId="17E0369A"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F9B6B1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2012</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869281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Salihu, H. M., Myers, J., &amp; August, E. M.</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5335A5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in the workplace</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E1E661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Occupational medicine</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F407FE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Systematic Review</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87806E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N/A</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FACBB8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discrimination was found to be prevalent and represented a large portion of claims brought against employers by women. The relationship between environmental risks and exposures at work with foetal outcomes was inconclusive. In general, standard working conditions presented little hazard to infant health; however, pregnancy could significantly impact a mother’s psychosocial well-being in the workplace. Core recommendations to improve maternal and infant health outcomes and improve workplace condit</w:t>
            </w:r>
            <w:r>
              <w:rPr>
                <w:rFonts w:ascii="Times New Roman" w:eastAsia="Times New Roman" w:hAnsi="Times New Roman" w:cs="Times New Roman"/>
                <w:sz w:val="18"/>
                <w:szCs w:val="18"/>
              </w:rPr>
              <w:t xml:space="preserve">ions for women include: (i) shifting organisational culture to support women in pregnancy; (ii) conducting early screening of occupational risk during the preconception period and (iii) </w:t>
            </w:r>
            <w:r>
              <w:rPr>
                <w:rFonts w:ascii="Times New Roman" w:eastAsia="Times New Roman" w:hAnsi="Times New Roman" w:cs="Times New Roman"/>
                <w:sz w:val="18"/>
                <w:szCs w:val="18"/>
              </w:rPr>
              <w:lastRenderedPageBreak/>
              <w:t>monitoring manual labour conditions, including workplace environment and job duties.</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0A3296B"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Systematic Review</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E78E5F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375142D5" w14:textId="77777777">
        <w:trPr>
          <w:trHeight w:val="440"/>
        </w:trPr>
        <w:tc>
          <w:tcPr>
            <w:tcW w:w="525" w:type="dxa"/>
            <w:tcMar>
              <w:top w:w="100" w:type="dxa"/>
              <w:left w:w="100" w:type="dxa"/>
              <w:bottom w:w="100" w:type="dxa"/>
              <w:right w:w="100" w:type="dxa"/>
            </w:tcMar>
          </w:tcPr>
          <w:p w14:paraId="5403D4C0"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3205A3D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2013</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D6A492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Crowley, J. E.</w:t>
            </w:r>
          </w:p>
        </w:tc>
        <w:tc>
          <w:tcPr>
            <w:tcW w:w="1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1184B71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Perceiving and responding to maternal workplace discrimination in the United States</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2B71562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 Women's Studies International Forum </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603241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318C148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54 </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5FBF27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This analysis first finds that whether currently working for pay or not, mothers perceive and label a variety of past employment experiences as discriminatory. This is primarily because in their status as mothers, they are seen as not meeting the ideal worker standard of performance nor as capable as non-mothers by their employers. Mothers report events under the categories of moment of hire, on-the-job, and evaluations/promotions related bias, with on-the-job accidents most common. Second, this analysis bu</w:t>
            </w:r>
            <w:r>
              <w:rPr>
                <w:rFonts w:ascii="Times New Roman" w:eastAsia="Times New Roman" w:hAnsi="Times New Roman" w:cs="Times New Roman"/>
                <w:sz w:val="18"/>
                <w:szCs w:val="18"/>
                <w:highlight w:val="white"/>
              </w:rPr>
              <w:t xml:space="preserve">ilds on previous work that has focused on mothers' extreme reactions such as opting out of work completely and filing lawsuits by mapping out three, intermediate responses to this subjective discrimination: ambivalence, endurance, or confrontation. Endurance was the most frequently deployed response strategy overall and for each of the three categories of discrimination. None of these three strategies, unfortunately, functions to promote broad-based organisational reform that would integrate mothers more </w:t>
            </w:r>
            <w:r>
              <w:rPr>
                <w:rFonts w:ascii="Times New Roman" w:eastAsia="Times New Roman" w:hAnsi="Times New Roman" w:cs="Times New Roman"/>
                <w:sz w:val="18"/>
                <w:szCs w:val="18"/>
                <w:highlight w:val="white"/>
              </w:rPr>
              <w:lastRenderedPageBreak/>
              <w:t>eq</w:t>
            </w:r>
            <w:r>
              <w:rPr>
                <w:rFonts w:ascii="Times New Roman" w:eastAsia="Times New Roman" w:hAnsi="Times New Roman" w:cs="Times New Roman"/>
                <w:sz w:val="18"/>
                <w:szCs w:val="18"/>
                <w:highlight w:val="white"/>
              </w:rPr>
              <w:t>uitably into the workplace.</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D91389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Interviews </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733BFC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1FA0BEF3" w14:textId="77777777">
        <w:trPr>
          <w:trHeight w:val="440"/>
        </w:trPr>
        <w:tc>
          <w:tcPr>
            <w:tcW w:w="525" w:type="dxa"/>
            <w:tcMar>
              <w:top w:w="100" w:type="dxa"/>
              <w:left w:w="100" w:type="dxa"/>
              <w:bottom w:w="100" w:type="dxa"/>
              <w:right w:w="100" w:type="dxa"/>
            </w:tcMar>
          </w:tcPr>
          <w:p w14:paraId="437DC3CA"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ACCF12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2013</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34B432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Dunn, M. G., Rochlen, A. B., &amp; O’Brien, K. M.</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95CD40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Employee, mother, and partner: An exploratory investigation of working women with stay-at-home fathers</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94044E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Career Development</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1A10D2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A81FE2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51</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7FF595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Through inductive qualitative analysis, the current study</w:t>
            </w:r>
          </w:p>
          <w:p w14:paraId="0A12085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investigated the identity and adjustment experiences of this subset of working mothers. Fifty-one women responded to open-ended questions about their work and family experiences. The results highlighted psychological, vocational, and sociocultural phenomena related to this particular work–family arrangement including reasons guiding career and family decisions, positive and negative adjustment experiences, and perceptions of stigma. Relevant clinical and workplace policy implications also are provided.</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0D5AC0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Open-ended questions</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035162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62E710F6" w14:textId="77777777">
        <w:trPr>
          <w:trHeight w:val="440"/>
        </w:trPr>
        <w:tc>
          <w:tcPr>
            <w:tcW w:w="525" w:type="dxa"/>
            <w:tcMar>
              <w:top w:w="100" w:type="dxa"/>
              <w:left w:w="100" w:type="dxa"/>
              <w:bottom w:w="100" w:type="dxa"/>
              <w:right w:w="100" w:type="dxa"/>
            </w:tcMar>
          </w:tcPr>
          <w:p w14:paraId="74CA3AC1"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D3CED1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2013</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56018E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highlight w:val="white"/>
              </w:rPr>
              <w:t>Morgan, W. B., Walker, S. S., Hebl, M. M. R., &amp; King, E. B.</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2A8C47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 field experiment: Reducing interpersonal discrimination toward pregnant job applicants</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F86D67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Applied Psychology</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2DD572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Quasi experimental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065B3E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161</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8B2C5D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current research investigates four stereotypes that contribute to hostile attitudes and discriminatory behaviours toward pregnant women: incompetence, lack of commitment, inflexibility, and need for accommodation. A field experiment was conducted with female confederates, some wearing pregnancy prostheses, applying for retail jobs. Results indicated that pregnant applicants faced significantly more interpersonal hostility than non pregnant </w:t>
            </w:r>
            <w:r>
              <w:rPr>
                <w:rFonts w:ascii="Times New Roman" w:eastAsia="Times New Roman" w:hAnsi="Times New Roman" w:cs="Times New Roman"/>
                <w:sz w:val="18"/>
                <w:szCs w:val="18"/>
              </w:rPr>
              <w:lastRenderedPageBreak/>
              <w:t>applicants, as confirmed by ratings from applicants, observers, and independent coders. However, providing hiring managers with counterstereotypic information about stereotypes related to lack of commitment and inflexibility led to a notable reduction in interpersonal discrimination. The findings suggest that specific types of counterstereotypic information can be more effective in reducing discrimination. The research offers novel theoretical insights and practical implications for enhancing the experience</w:t>
            </w:r>
            <w:r>
              <w:rPr>
                <w:rFonts w:ascii="Times New Roman" w:eastAsia="Times New Roman" w:hAnsi="Times New Roman" w:cs="Times New Roman"/>
                <w:sz w:val="18"/>
                <w:szCs w:val="18"/>
              </w:rPr>
              <w:t>s of pregnant workers in organisational settings.</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D5C6953"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Questionnaires; Observations; Independent Codings</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D41730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303382EF" w14:textId="77777777">
        <w:trPr>
          <w:trHeight w:val="440"/>
        </w:trPr>
        <w:tc>
          <w:tcPr>
            <w:tcW w:w="525" w:type="dxa"/>
            <w:tcMar>
              <w:top w:w="100" w:type="dxa"/>
              <w:left w:w="100" w:type="dxa"/>
              <w:bottom w:w="100" w:type="dxa"/>
              <w:right w:w="100" w:type="dxa"/>
            </w:tcMar>
          </w:tcPr>
          <w:p w14:paraId="55828E66"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C9DC18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2014</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B158BF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Byron, R. A., &amp; Roscigno, V. J.</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4A85B1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Relational power, legitimation, and pregnancy discrimination</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9BBC76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Gender &amp; Society</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3DD241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5BE5B4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177</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2BF785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Our analyses reveal a two-pronged legitimation process where employers symbolically vilified pregnant workers while simultaneously amplifying ostensibly meritocratic</w:t>
            </w:r>
          </w:p>
          <w:p w14:paraId="6679B15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organisational procedures and concerns. Pregnancy discrimination plaintiffs attempted to counter employer arguments. Yet, their limited power within the organisational hierarchy along with the culturally resonant nature of employer logics—logics that seem gender-neutral but that reify gendered assumptions and prioritise business </w:t>
            </w:r>
            <w:r>
              <w:rPr>
                <w:rFonts w:ascii="Times New Roman" w:eastAsia="Times New Roman" w:hAnsi="Times New Roman" w:cs="Times New Roman"/>
                <w:sz w:val="18"/>
                <w:szCs w:val="18"/>
              </w:rPr>
              <w:lastRenderedPageBreak/>
              <w:t>profit—place pregnant women at a considerable disadvantage. Without attending to such cultural and structural power imbalances and the relational processes that undergird them, pregnancy discrimination will remain a significant problem.</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5957F3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Interviews, observations, case studies; thematic analysis </w:t>
            </w:r>
          </w:p>
          <w:p w14:paraId="333D6F2A" w14:textId="77777777" w:rsidR="00BC16EB" w:rsidRDefault="00BC16EB">
            <w:pPr>
              <w:spacing w:line="480" w:lineRule="auto"/>
              <w:rPr>
                <w:rFonts w:ascii="Times New Roman" w:eastAsia="Times New Roman" w:hAnsi="Times New Roman" w:cs="Times New Roman"/>
                <w:sz w:val="18"/>
                <w:szCs w:val="18"/>
              </w:rPr>
            </w:pP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6DE7B7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1F58EA0D" w14:textId="77777777">
        <w:trPr>
          <w:trHeight w:val="440"/>
        </w:trPr>
        <w:tc>
          <w:tcPr>
            <w:tcW w:w="525" w:type="dxa"/>
            <w:tcMar>
              <w:top w:w="100" w:type="dxa"/>
              <w:left w:w="100" w:type="dxa"/>
              <w:bottom w:w="100" w:type="dxa"/>
              <w:right w:w="100" w:type="dxa"/>
            </w:tcMar>
          </w:tcPr>
          <w:p w14:paraId="4332EA95"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35E353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2015</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02C45B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Fox, A. B., &amp; Quinn, D. M.</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D7B42F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Pregnant women at work: The role of stigma in predicting women’s intended exit from the workforce</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CC3D9A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Psychology of Women Quarterly</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08123F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54EC90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142 </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A83C24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Results indicated that anticipated stigma</w:t>
            </w:r>
            <w:r>
              <w:rPr>
                <w:rFonts w:ascii="Times New Roman" w:eastAsia="Times New Roman" w:hAnsi="Times New Roman" w:cs="Times New Roman"/>
                <w:sz w:val="18"/>
                <w:szCs w:val="18"/>
                <w:highlight w:val="white"/>
                <w:u w:val="single"/>
              </w:rPr>
              <w:t xml:space="preserve"> </w:t>
            </w:r>
            <w:r>
              <w:rPr>
                <w:rFonts w:ascii="Times New Roman" w:eastAsia="Times New Roman" w:hAnsi="Times New Roman" w:cs="Times New Roman"/>
                <w:sz w:val="18"/>
                <w:szCs w:val="18"/>
                <w:highlight w:val="white"/>
              </w:rPr>
              <w:t>partially mediated the relationship between workplace factors and psychological well-being, whereas experienced stigma partially mediated the relationships between workplace factors and job satisfaction, psychological well-being, and turnover intentions. Overall, our study demonstrates both the utility of a stigma framework and the importance of workplace experiences in understanding why women leave their jobs.</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BC0ED5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Questionnaire</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35F053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2857504D" w14:textId="77777777">
        <w:trPr>
          <w:trHeight w:val="440"/>
        </w:trPr>
        <w:tc>
          <w:tcPr>
            <w:tcW w:w="525" w:type="dxa"/>
            <w:tcMar>
              <w:top w:w="100" w:type="dxa"/>
              <w:left w:w="100" w:type="dxa"/>
              <w:bottom w:w="100" w:type="dxa"/>
              <w:right w:w="100" w:type="dxa"/>
            </w:tcMar>
          </w:tcPr>
          <w:p w14:paraId="3117B5F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5AD666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2015</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83E5FC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Little, L. M., Major, V. S., Hinojosa, A. S., &amp; Nelson, D. L.</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BEE01F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PROFESSIONAL IMAGE MAINTENANCE: HOW WOMEN</w:t>
            </w:r>
          </w:p>
          <w:p w14:paraId="64CED11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NAVIGATE PREGNANCY IN </w:t>
            </w:r>
            <w:r>
              <w:rPr>
                <w:rFonts w:ascii="Times New Roman" w:eastAsia="Times New Roman" w:hAnsi="Times New Roman" w:cs="Times New Roman"/>
                <w:sz w:val="18"/>
                <w:szCs w:val="18"/>
              </w:rPr>
              <w:lastRenderedPageBreak/>
              <w:t>THE WORKPLACE</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D38A0E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Academy of Management Journal</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08151D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Quasi experimental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C2DD7F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Study 1: N =  35;  </w:t>
            </w:r>
            <w:r>
              <w:rPr>
                <w:rFonts w:ascii="Times New Roman" w:eastAsia="Times New Roman" w:hAnsi="Times New Roman" w:cs="Times New Roman"/>
                <w:sz w:val="18"/>
                <w:szCs w:val="18"/>
              </w:rPr>
              <w:br/>
              <w:t>Study 2: N =  199;</w:t>
            </w:r>
            <w:r>
              <w:rPr>
                <w:rFonts w:ascii="Times New Roman" w:eastAsia="Times New Roman" w:hAnsi="Times New Roman" w:cs="Times New Roman"/>
                <w:sz w:val="18"/>
                <w:szCs w:val="18"/>
              </w:rPr>
              <w:br/>
              <w:t xml:space="preserve">n  133); </w:t>
            </w:r>
          </w:p>
          <w:p w14:paraId="35C2C1F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Study 3: N =  </w:t>
            </w:r>
            <w:r>
              <w:rPr>
                <w:rFonts w:ascii="Times New Roman" w:eastAsia="Times New Roman" w:hAnsi="Times New Roman" w:cs="Times New Roman"/>
                <w:sz w:val="18"/>
                <w:szCs w:val="18"/>
              </w:rPr>
              <w:lastRenderedPageBreak/>
              <w:t xml:space="preserve">200 </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B97492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These studies add to our understanding of pregnant women’s experiences within the workplace. We found that women were concerned about how pregnancy would alter their professional images as committed and capable employees. They spoke passionately of the importance they placed on maintaining their images, doing a good job, and </w:t>
            </w:r>
            <w:r>
              <w:rPr>
                <w:rFonts w:ascii="Times New Roman" w:eastAsia="Times New Roman" w:hAnsi="Times New Roman" w:cs="Times New Roman"/>
                <w:sz w:val="18"/>
                <w:szCs w:val="18"/>
              </w:rPr>
              <w:lastRenderedPageBreak/>
              <w:t>being dependable and “professional.” Women who engaged in approach-related strategies reaped positive outcomes at work in terms of reduced perceived discrimination and burnout. Organizations also benefited because these behaviors increased the likelihood of women returning to work. On the other hand, when pregnant women worried about being devalued at work, they experienced higher levels of burnout and perceived more discrimination. It appears the key question for employers and organizations should not be w</w:t>
            </w:r>
            <w:r>
              <w:rPr>
                <w:rFonts w:ascii="Times New Roman" w:eastAsia="Times New Roman" w:hAnsi="Times New Roman" w:cs="Times New Roman"/>
                <w:sz w:val="18"/>
                <w:szCs w:val="18"/>
              </w:rPr>
              <w:t>hether women’s priorities will shift during pregnancy, but how best to respond to women’s concerns about others’ changing views.</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5DDB6F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MIXED METHOD Study 1- Qualitative analysis (Grounded </w:t>
            </w:r>
            <w:r>
              <w:rPr>
                <w:rFonts w:ascii="Times New Roman" w:eastAsia="Times New Roman" w:hAnsi="Times New Roman" w:cs="Times New Roman"/>
                <w:sz w:val="18"/>
                <w:szCs w:val="18"/>
              </w:rPr>
              <w:lastRenderedPageBreak/>
              <w:t>Theory- Interview)  Study 2- Quantitative analysis tool validation (es. correlation, Factor Analyses) ; Study 3- Quantitative analysis (path analyses)</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5C0966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USA</w:t>
            </w:r>
          </w:p>
        </w:tc>
      </w:tr>
      <w:tr w:rsidR="00BC16EB" w14:paraId="4751BD73" w14:textId="77777777">
        <w:trPr>
          <w:trHeight w:val="440"/>
        </w:trPr>
        <w:tc>
          <w:tcPr>
            <w:tcW w:w="525" w:type="dxa"/>
            <w:tcMar>
              <w:top w:w="100" w:type="dxa"/>
              <w:left w:w="100" w:type="dxa"/>
              <w:bottom w:w="100" w:type="dxa"/>
              <w:right w:w="100" w:type="dxa"/>
            </w:tcMar>
          </w:tcPr>
          <w:p w14:paraId="38B0741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46343B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2016</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F29B2C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England, P., Bearak, J., Budig, M. J. et al.</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DBB3F7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Do highly paid, highly skilled women experience the largest motherhood penalty?</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37EE8F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American sociological review</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6BCF83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Cohort Study </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A8A582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approximately 3,000 women.</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865912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Motherhood reduces women’s wages. But does the size of this penalty differ between more</w:t>
            </w:r>
          </w:p>
          <w:p w14:paraId="4B7EB16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and less advantaged women? To answer this, we use unconditional quantile regression</w:t>
            </w:r>
          </w:p>
          <w:p w14:paraId="5669932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models with person-fixed effects, and panel data from the 1979 to 2010 National Longitudinal</w:t>
            </w:r>
          </w:p>
          <w:p w14:paraId="2B3E9F2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Survey of Youth (NLSY79). We find that among white </w:t>
            </w:r>
            <w:r>
              <w:rPr>
                <w:rFonts w:ascii="Times New Roman" w:eastAsia="Times New Roman" w:hAnsi="Times New Roman" w:cs="Times New Roman"/>
                <w:sz w:val="18"/>
                <w:szCs w:val="18"/>
              </w:rPr>
              <w:lastRenderedPageBreak/>
              <w:t>women, the most privileged—women</w:t>
            </w:r>
          </w:p>
          <w:p w14:paraId="1C6D45A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with high skills and high wages—experience the highest total penalties, estimated to include</w:t>
            </w:r>
          </w:p>
          <w:p w14:paraId="2717173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effects mediated through lost experience. Although highly skilled, highly paid women have</w:t>
            </w:r>
          </w:p>
          <w:p w14:paraId="3BE2DEF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fairly continuous experience, their high returns to experience make even the small amounts of</w:t>
            </w:r>
          </w:p>
          <w:p w14:paraId="098F995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time some of them take out of employment for child rearing costly. By contrast, penalties net</w:t>
            </w:r>
          </w:p>
          <w:p w14:paraId="64FA9DF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of experience, which may represent employer discrimination or effects of motherhood on job</w:t>
            </w:r>
          </w:p>
          <w:p w14:paraId="7D8B9E4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performance is not distinctive for highly skilled women with high wages.</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044839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Survey</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F799B9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345D4E26" w14:textId="77777777">
        <w:trPr>
          <w:trHeight w:val="440"/>
        </w:trPr>
        <w:tc>
          <w:tcPr>
            <w:tcW w:w="525" w:type="dxa"/>
            <w:tcMar>
              <w:top w:w="100" w:type="dxa"/>
              <w:left w:w="100" w:type="dxa"/>
              <w:bottom w:w="100" w:type="dxa"/>
              <w:right w:w="100" w:type="dxa"/>
            </w:tcMar>
          </w:tcPr>
          <w:p w14:paraId="25DDD253"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9DA830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2016</w:t>
            </w:r>
          </w:p>
        </w:tc>
        <w:tc>
          <w:tcPr>
            <w:tcW w:w="1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5EE2A62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Jones, K. P., King, E. B., Gilrane, V. L., McCausland, T. C., Cortina, J. </w:t>
            </w:r>
            <w:r>
              <w:rPr>
                <w:rFonts w:ascii="Times New Roman" w:eastAsia="Times New Roman" w:hAnsi="Times New Roman" w:cs="Times New Roman"/>
                <w:sz w:val="18"/>
                <w:szCs w:val="18"/>
              </w:rPr>
              <w:lastRenderedPageBreak/>
              <w:t>M., &amp; Grimm, K. J.</w:t>
            </w:r>
          </w:p>
        </w:tc>
        <w:tc>
          <w:tcPr>
            <w:tcW w:w="1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380DCA0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The baby bump: Managing a dynamic stigma over time</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040BC1B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Management</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21431A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BC26E4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116</w:t>
            </w:r>
          </w:p>
        </w:tc>
        <w:tc>
          <w:tcPr>
            <w:tcW w:w="4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1D0E392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Results suggested a reciprocal relationship between revealing and physical health wherein revealing led to more frequent physical health symptoms and more frequent physical health symptoms led to decreased revealing. Furthermore, concealing exerted a unidirectional impact on physical health wherein concealing predicted subsequent decreases in physical health symptoms. Finally, supportive </w:t>
            </w:r>
            <w:r>
              <w:rPr>
                <w:rFonts w:ascii="Times New Roman" w:eastAsia="Times New Roman" w:hAnsi="Times New Roman" w:cs="Times New Roman"/>
                <w:sz w:val="18"/>
                <w:szCs w:val="18"/>
              </w:rPr>
              <w:lastRenderedPageBreak/>
              <w:t xml:space="preserve">work–family cultures and supervisor support were linked to lower concealing, higher revealing, and less frequent physical health symptoms at the initial measurement occasion (i.e., earlier stages of pregnancy); however, these benefits appeared to diminish over time. The implications of these findings for theory and practice are discussed. </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5B30AB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Bivariate latent change score (BLCS) approach </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0AE28B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09B47623" w14:textId="77777777">
        <w:trPr>
          <w:trHeight w:val="440"/>
        </w:trPr>
        <w:tc>
          <w:tcPr>
            <w:tcW w:w="525" w:type="dxa"/>
            <w:tcMar>
              <w:top w:w="100" w:type="dxa"/>
              <w:left w:w="100" w:type="dxa"/>
              <w:bottom w:w="100" w:type="dxa"/>
              <w:right w:w="100" w:type="dxa"/>
            </w:tcMar>
          </w:tcPr>
          <w:p w14:paraId="7A8BD4D4"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170CA3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2017</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F0B096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 xml:space="preserve">Adesoye, T., Mangurian, C., Choo, E. K. et al. </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573C72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Perceived discrimination experienced by physician mothers and desired workplace changes: a cross-sectional survey</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5ACC34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JAMA internal medicine.</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FCBF13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Cross sectional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DF1282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N = 5782</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79DB52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 a large cross-sectional survey of physician mothers, we found that perceived discrimination is common, affecting 4 of 5 respondents, including about two-thirds of the respondents who reported discrimination based on gender and more than a third who reported maternal discrimination. The overlap of groups reporting gender and maternal discrimination was less than half, suggesting that they are somewhat different phenomena. Important limitations of our study include survey design, the low response rate, and</w:t>
            </w:r>
            <w:r>
              <w:rPr>
                <w:rFonts w:ascii="Times New Roman" w:eastAsia="Times New Roman" w:hAnsi="Times New Roman" w:cs="Times New Roman"/>
                <w:sz w:val="18"/>
                <w:szCs w:val="18"/>
              </w:rPr>
              <w:t xml:space="preserve"> possible selection bias, if those who experience discrimination are more likely to participate in a support group. Despite substantial increases in the number of female physicians—the majority of whom are mothers—our findings suggest that gender-based discrimination remains </w:t>
            </w:r>
            <w:r>
              <w:rPr>
                <w:rFonts w:ascii="Times New Roman" w:eastAsia="Times New Roman" w:hAnsi="Times New Roman" w:cs="Times New Roman"/>
                <w:sz w:val="18"/>
                <w:szCs w:val="18"/>
              </w:rPr>
              <w:lastRenderedPageBreak/>
              <w:t>common in medicine, and that discrimination specifically based on motherhood is an important reason. To promote gender equity and retain high-quality physicians, employers should implement policies that reduce maternal discrimination an</w:t>
            </w:r>
            <w:r>
              <w:rPr>
                <w:rFonts w:ascii="Times New Roman" w:eastAsia="Times New Roman" w:hAnsi="Times New Roman" w:cs="Times New Roman"/>
                <w:sz w:val="18"/>
                <w:szCs w:val="18"/>
              </w:rPr>
              <w:t xml:space="preserve">d support gender equity such as longer paid maternity leave, backup child care, lactation support, and increased schedule flexibility. </w:t>
            </w:r>
          </w:p>
        </w:tc>
        <w:tc>
          <w:tcPr>
            <w:tcW w:w="1290" w:type="dxa"/>
            <w:tcBorders>
              <w:left w:val="single" w:sz="6" w:space="0" w:color="000000"/>
              <w:bottom w:val="single" w:sz="6" w:space="0" w:color="000000"/>
            </w:tcBorders>
          </w:tcPr>
          <w:p w14:paraId="283BB5B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Survey</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5B6324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4B9DDB6D" w14:textId="77777777">
        <w:trPr>
          <w:trHeight w:val="440"/>
        </w:trPr>
        <w:tc>
          <w:tcPr>
            <w:tcW w:w="525" w:type="dxa"/>
            <w:tcMar>
              <w:top w:w="100" w:type="dxa"/>
              <w:left w:w="100" w:type="dxa"/>
              <w:bottom w:w="100" w:type="dxa"/>
              <w:right w:w="100" w:type="dxa"/>
            </w:tcMar>
          </w:tcPr>
          <w:p w14:paraId="6B24DF19"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08FBFB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2017</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5BB80A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Jones, K. P.</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543CCC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To tell or not to tell? Examining the role of discrimination in the pregnancy disclosure process at work</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513DD8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Occupational Health Psychology</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6263D1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402E15B"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72</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D8C263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Findings suggest that pregnant employees’ expectations about pregnancy discrimination play a role in shaping disclosure behaviours at work. Furthermore, certain behavioural strategies for pregnancy disclosure were linked with average reports of experienced discrimination and momentary reports of psychological distress. Nevertheless, these results point to the importance of better capturing the situational variance from interaction to interaction, which likely plays a critical role in shaping job attitudes a</w:t>
            </w:r>
            <w:r>
              <w:rPr>
                <w:rFonts w:ascii="Times New Roman" w:eastAsia="Times New Roman" w:hAnsi="Times New Roman" w:cs="Times New Roman"/>
                <w:sz w:val="18"/>
                <w:szCs w:val="18"/>
              </w:rPr>
              <w:t>nd well-being over time.</w:t>
            </w:r>
          </w:p>
        </w:tc>
        <w:tc>
          <w:tcPr>
            <w:tcW w:w="12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4A2003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w:t>
            </w:r>
          </w:p>
          <w:p w14:paraId="25F00738" w14:textId="77777777" w:rsidR="00BC16EB" w:rsidRDefault="00BC16EB">
            <w:pPr>
              <w:spacing w:line="480" w:lineRule="auto"/>
              <w:rPr>
                <w:rFonts w:ascii="Times New Roman" w:eastAsia="Times New Roman" w:hAnsi="Times New Roman" w:cs="Times New Roman"/>
                <w:sz w:val="18"/>
                <w:szCs w:val="18"/>
              </w:rPr>
            </w:pP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451A7C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25A502B9" w14:textId="77777777">
        <w:trPr>
          <w:trHeight w:val="440"/>
        </w:trPr>
        <w:tc>
          <w:tcPr>
            <w:tcW w:w="525" w:type="dxa"/>
            <w:tcMar>
              <w:top w:w="100" w:type="dxa"/>
              <w:left w:w="100" w:type="dxa"/>
              <w:bottom w:w="100" w:type="dxa"/>
              <w:right w:w="100" w:type="dxa"/>
            </w:tcMar>
          </w:tcPr>
          <w:p w14:paraId="01F7BA8B"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990" w:type="dxa"/>
          </w:tcPr>
          <w:p w14:paraId="17BC271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Borders>
              <w:top w:val="single" w:sz="6" w:space="0" w:color="000000"/>
            </w:tcBorders>
          </w:tcPr>
          <w:p w14:paraId="2834408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Akhter, T., Khan, M. </w:t>
            </w:r>
            <w:r>
              <w:rPr>
                <w:rFonts w:ascii="Times New Roman" w:eastAsia="Times New Roman" w:hAnsi="Times New Roman" w:cs="Times New Roman"/>
                <w:sz w:val="18"/>
                <w:szCs w:val="18"/>
              </w:rPr>
              <w:lastRenderedPageBreak/>
              <w:t xml:space="preserve">A., &amp; Afzal, S. </w:t>
            </w:r>
          </w:p>
        </w:tc>
        <w:tc>
          <w:tcPr>
            <w:tcW w:w="1770" w:type="dxa"/>
            <w:tcBorders>
              <w:top w:val="single" w:sz="6" w:space="0" w:color="000000"/>
            </w:tcBorders>
          </w:tcPr>
          <w:p w14:paraId="779B403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A Qualitative Study of Environmental and </w:t>
            </w:r>
            <w:r>
              <w:rPr>
                <w:rFonts w:ascii="Times New Roman" w:eastAsia="Times New Roman" w:hAnsi="Times New Roman" w:cs="Times New Roman"/>
                <w:sz w:val="18"/>
                <w:szCs w:val="18"/>
              </w:rPr>
              <w:lastRenderedPageBreak/>
              <w:t>Behavioral Factors Affecting Mothers at</w:t>
            </w:r>
          </w:p>
          <w:p w14:paraId="19FC913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workplaces in an Urban Society</w:t>
            </w:r>
          </w:p>
        </w:tc>
        <w:tc>
          <w:tcPr>
            <w:tcW w:w="1065" w:type="dxa"/>
            <w:tcBorders>
              <w:top w:val="single" w:sz="6" w:space="0" w:color="000000"/>
            </w:tcBorders>
          </w:tcPr>
          <w:p w14:paraId="095CE82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INDO AMERICAN </w:t>
            </w:r>
            <w:r>
              <w:rPr>
                <w:rFonts w:ascii="Times New Roman" w:eastAsia="Times New Roman" w:hAnsi="Times New Roman" w:cs="Times New Roman"/>
                <w:sz w:val="18"/>
                <w:szCs w:val="18"/>
              </w:rPr>
              <w:lastRenderedPageBreak/>
              <w:t>JOURNAL OF</w:t>
            </w:r>
          </w:p>
          <w:p w14:paraId="4C42872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PHARMACEUTICAL SCIENCES</w:t>
            </w:r>
          </w:p>
          <w:p w14:paraId="2F4756A8" w14:textId="77777777" w:rsidR="00BC16EB" w:rsidRDefault="00BC16EB">
            <w:pPr>
              <w:spacing w:line="480" w:lineRule="auto"/>
              <w:rPr>
                <w:rFonts w:ascii="Times New Roman" w:eastAsia="Times New Roman" w:hAnsi="Times New Roman" w:cs="Times New Roman"/>
                <w:sz w:val="18"/>
                <w:szCs w:val="18"/>
              </w:rPr>
            </w:pPr>
          </w:p>
        </w:tc>
        <w:tc>
          <w:tcPr>
            <w:tcW w:w="1710" w:type="dxa"/>
            <w:tcBorders>
              <w:top w:val="single" w:sz="6" w:space="0" w:color="000000"/>
            </w:tcBorders>
          </w:tcPr>
          <w:p w14:paraId="5ED4380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Qualitative Study</w:t>
            </w:r>
          </w:p>
        </w:tc>
        <w:tc>
          <w:tcPr>
            <w:tcW w:w="1110" w:type="dxa"/>
            <w:tcBorders>
              <w:top w:val="single" w:sz="6" w:space="0" w:color="000000"/>
            </w:tcBorders>
          </w:tcPr>
          <w:p w14:paraId="0E7766C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36</w:t>
            </w:r>
          </w:p>
        </w:tc>
        <w:tc>
          <w:tcPr>
            <w:tcW w:w="4455" w:type="dxa"/>
            <w:tcBorders>
              <w:top w:val="single" w:sz="6" w:space="0" w:color="000000"/>
            </w:tcBorders>
          </w:tcPr>
          <w:p w14:paraId="15AF87A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 our research, environmental including workplace factors identified for working women in small organisations are: Non-availability of company </w:t>
            </w:r>
            <w:r>
              <w:rPr>
                <w:rFonts w:ascii="Times New Roman" w:eastAsia="Times New Roman" w:hAnsi="Times New Roman" w:cs="Times New Roman"/>
                <w:sz w:val="18"/>
                <w:szCs w:val="18"/>
              </w:rPr>
              <w:lastRenderedPageBreak/>
              <w:t>transportation, Non-availability of Day care centres for their babies, Limited availability of paid sick leaves, No flexi hours, No medical facility, No paid maternity leaves policy.</w:t>
            </w:r>
          </w:p>
          <w:p w14:paraId="09F43949"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research also implies that pregnancy discrimination at both small and large organisations is a reality and faced</w:t>
            </w:r>
          </w:p>
          <w:p w14:paraId="794665A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by almost all the women.</w:t>
            </w:r>
          </w:p>
        </w:tc>
        <w:tc>
          <w:tcPr>
            <w:tcW w:w="1290" w:type="dxa"/>
          </w:tcPr>
          <w:p w14:paraId="1CB6CA7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Focus Group Discussions</w:t>
            </w:r>
          </w:p>
        </w:tc>
        <w:tc>
          <w:tcPr>
            <w:tcW w:w="1005" w:type="dxa"/>
            <w:tcBorders>
              <w:top w:val="single" w:sz="6" w:space="0" w:color="000000"/>
            </w:tcBorders>
          </w:tcPr>
          <w:p w14:paraId="2B8197B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Pakistan</w:t>
            </w:r>
          </w:p>
        </w:tc>
      </w:tr>
      <w:tr w:rsidR="00BC16EB" w14:paraId="6540F5B8" w14:textId="77777777">
        <w:trPr>
          <w:trHeight w:val="440"/>
        </w:trPr>
        <w:tc>
          <w:tcPr>
            <w:tcW w:w="525" w:type="dxa"/>
            <w:tcMar>
              <w:top w:w="100" w:type="dxa"/>
              <w:left w:w="100" w:type="dxa"/>
              <w:bottom w:w="100" w:type="dxa"/>
              <w:right w:w="100" w:type="dxa"/>
            </w:tcMar>
          </w:tcPr>
          <w:p w14:paraId="46662722"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p>
        </w:tc>
        <w:tc>
          <w:tcPr>
            <w:tcW w:w="990" w:type="dxa"/>
          </w:tcPr>
          <w:p w14:paraId="57F8187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Pr>
          <w:p w14:paraId="63CF9A9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Bresnahan, M., Zhuang, J., Anderson, J., Zhu, Y., Nelson, J., &amp; Yan, X. </w:t>
            </w:r>
          </w:p>
        </w:tc>
        <w:tc>
          <w:tcPr>
            <w:tcW w:w="1770" w:type="dxa"/>
          </w:tcPr>
          <w:p w14:paraId="2E6B963C"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‘Pumpgate’ Incident: Stigma against Lactating</w:t>
            </w:r>
          </w:p>
          <w:p w14:paraId="706F58C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Mothers in the U.S. Workplace</w:t>
            </w:r>
          </w:p>
        </w:tc>
        <w:tc>
          <w:tcPr>
            <w:tcW w:w="1065" w:type="dxa"/>
          </w:tcPr>
          <w:p w14:paraId="7AADDA7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Communication Studies Publications</w:t>
            </w:r>
          </w:p>
        </w:tc>
        <w:tc>
          <w:tcPr>
            <w:tcW w:w="1710" w:type="dxa"/>
          </w:tcPr>
          <w:p w14:paraId="7AA2804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Pr>
          <w:p w14:paraId="471F686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899 public comments posted online</w:t>
            </w:r>
          </w:p>
        </w:tc>
        <w:tc>
          <w:tcPr>
            <w:tcW w:w="4455" w:type="dxa"/>
          </w:tcPr>
          <w:p w14:paraId="1AF4033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 total of 899 public comments posted on Yahoo in 2015-2016 in response to this earlier incident were analysed for content. Of these, only 336 mentioned breastfeeding. Overall, 148 comments showed support for breastfeeding or pumping breastmilk at work, while 182 comments showed moderate to strong disapproval (six unclassified). The majority of disapproving comments were critical of pumping breastmilk in the workplace. Implications of these findings for the duration of breastfeeding after returning to work </w:t>
            </w:r>
            <w:r>
              <w:rPr>
                <w:rFonts w:ascii="Times New Roman" w:eastAsia="Times New Roman" w:hAnsi="Times New Roman" w:cs="Times New Roman"/>
                <w:sz w:val="18"/>
                <w:szCs w:val="18"/>
              </w:rPr>
              <w:t xml:space="preserve">are discussed.                                                                                      </w:t>
            </w:r>
          </w:p>
        </w:tc>
        <w:tc>
          <w:tcPr>
            <w:tcW w:w="1290" w:type="dxa"/>
          </w:tcPr>
          <w:p w14:paraId="1E2C34B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Content analysis study</w:t>
            </w:r>
          </w:p>
          <w:p w14:paraId="20F015BF" w14:textId="77777777" w:rsidR="00BC16EB" w:rsidRDefault="00BC16EB">
            <w:pPr>
              <w:spacing w:line="480" w:lineRule="auto"/>
              <w:rPr>
                <w:rFonts w:ascii="Times New Roman" w:eastAsia="Times New Roman" w:hAnsi="Times New Roman" w:cs="Times New Roman"/>
                <w:sz w:val="18"/>
                <w:szCs w:val="18"/>
              </w:rPr>
            </w:pPr>
          </w:p>
        </w:tc>
        <w:tc>
          <w:tcPr>
            <w:tcW w:w="1005" w:type="dxa"/>
          </w:tcPr>
          <w:p w14:paraId="357F071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5FE9BD0D" w14:textId="77777777">
        <w:trPr>
          <w:trHeight w:val="440"/>
        </w:trPr>
        <w:tc>
          <w:tcPr>
            <w:tcW w:w="525" w:type="dxa"/>
            <w:tcMar>
              <w:top w:w="100" w:type="dxa"/>
              <w:left w:w="100" w:type="dxa"/>
              <w:bottom w:w="100" w:type="dxa"/>
              <w:right w:w="100" w:type="dxa"/>
            </w:tcMar>
          </w:tcPr>
          <w:p w14:paraId="081F7C4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990" w:type="dxa"/>
          </w:tcPr>
          <w:p w14:paraId="3AF02B0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Pr>
          <w:p w14:paraId="2AAF86F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Gloor, J. L., Li, X., Lim, S., &amp; </w:t>
            </w:r>
            <w:r>
              <w:rPr>
                <w:rFonts w:ascii="Times New Roman" w:eastAsia="Times New Roman" w:hAnsi="Times New Roman" w:cs="Times New Roman"/>
                <w:sz w:val="18"/>
                <w:szCs w:val="18"/>
              </w:rPr>
              <w:lastRenderedPageBreak/>
              <w:t>Feierabend, A.</w:t>
            </w:r>
          </w:p>
        </w:tc>
        <w:tc>
          <w:tcPr>
            <w:tcW w:w="1770" w:type="dxa"/>
          </w:tcPr>
          <w:p w14:paraId="2AD92F8F" w14:textId="77777777" w:rsidR="00BC16EB" w:rsidRDefault="005714A1">
            <w:pPr>
              <w:pStyle w:val="Heading1"/>
              <w:keepNext w:val="0"/>
              <w:keepLines w:val="0"/>
              <w:spacing w:before="0" w:after="0" w:line="480" w:lineRule="auto"/>
              <w:rPr>
                <w:rFonts w:ascii="Times New Roman" w:eastAsia="Times New Roman" w:hAnsi="Times New Roman" w:cs="Times New Roman"/>
                <w:sz w:val="18"/>
                <w:szCs w:val="18"/>
              </w:rPr>
            </w:pPr>
            <w:bookmarkStart w:id="0" w:name="_jnntftq8lwq5" w:colFirst="0" w:colLast="0"/>
            <w:bookmarkEnd w:id="0"/>
            <w:r>
              <w:rPr>
                <w:rFonts w:ascii="Times New Roman" w:eastAsia="Times New Roman" w:hAnsi="Times New Roman" w:cs="Times New Roman"/>
                <w:sz w:val="18"/>
                <w:szCs w:val="18"/>
              </w:rPr>
              <w:lastRenderedPageBreak/>
              <w:t xml:space="preserve">An inconvenient truth? Interpersonal and career </w:t>
            </w:r>
            <w:r>
              <w:rPr>
                <w:rFonts w:ascii="Times New Roman" w:eastAsia="Times New Roman" w:hAnsi="Times New Roman" w:cs="Times New Roman"/>
                <w:sz w:val="18"/>
                <w:szCs w:val="18"/>
              </w:rPr>
              <w:lastRenderedPageBreak/>
              <w:t>consequences of “maybe baby” expectations</w:t>
            </w:r>
          </w:p>
          <w:p w14:paraId="69025085" w14:textId="77777777" w:rsidR="00BC16EB" w:rsidRDefault="00BC16EB">
            <w:pPr>
              <w:spacing w:line="480" w:lineRule="auto"/>
              <w:rPr>
                <w:rFonts w:ascii="Times New Roman" w:eastAsia="Times New Roman" w:hAnsi="Times New Roman" w:cs="Times New Roman"/>
                <w:sz w:val="18"/>
                <w:szCs w:val="18"/>
              </w:rPr>
            </w:pPr>
          </w:p>
        </w:tc>
        <w:tc>
          <w:tcPr>
            <w:tcW w:w="1065" w:type="dxa"/>
          </w:tcPr>
          <w:p w14:paraId="18D7FAC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lastRenderedPageBreak/>
              <w:t>Journal of Vocational Behavior</w:t>
            </w:r>
          </w:p>
        </w:tc>
        <w:tc>
          <w:tcPr>
            <w:tcW w:w="1710" w:type="dxa"/>
          </w:tcPr>
          <w:p w14:paraId="30BC4C7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42CDE5C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Study </w:t>
            </w:r>
          </w:p>
        </w:tc>
        <w:tc>
          <w:tcPr>
            <w:tcW w:w="1110" w:type="dxa"/>
          </w:tcPr>
          <w:p w14:paraId="6FF4720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N = 243</w:t>
            </w:r>
          </w:p>
        </w:tc>
        <w:tc>
          <w:tcPr>
            <w:tcW w:w="4455" w:type="dxa"/>
          </w:tcPr>
          <w:p w14:paraId="0FC88BD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 xml:space="preserve">As expected, childless women experienced more incivility than their counterparts, a difference that was greater in organisations with larger differences between maternal </w:t>
            </w:r>
            <w:r>
              <w:rPr>
                <w:rFonts w:ascii="Times New Roman" w:eastAsia="Times New Roman" w:hAnsi="Times New Roman" w:cs="Times New Roman"/>
                <w:sz w:val="18"/>
                <w:szCs w:val="18"/>
                <w:highlight w:val="white"/>
              </w:rPr>
              <w:lastRenderedPageBreak/>
              <w:t>leave and parental leave policies and positively associated with subsequent career withdrawal. Discussion focuses on the importance of examining individual- and organisational-level work-family antecedents for understanding modern workplace mistreatment and its career effects in context, as well as the effective design and implementation of work-family policies.</w:t>
            </w:r>
            <w:r>
              <w:rPr>
                <w:rFonts w:ascii="Times New Roman" w:eastAsia="Times New Roman" w:hAnsi="Times New Roman" w:cs="Times New Roman"/>
                <w:sz w:val="18"/>
                <w:szCs w:val="18"/>
              </w:rPr>
              <w:t xml:space="preserve">                                                       </w:t>
            </w:r>
          </w:p>
        </w:tc>
        <w:tc>
          <w:tcPr>
            <w:tcW w:w="1290" w:type="dxa"/>
          </w:tcPr>
          <w:p w14:paraId="1BA930E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Hayes’ PROCESS</w:t>
            </w:r>
          </w:p>
        </w:tc>
        <w:tc>
          <w:tcPr>
            <w:tcW w:w="1005" w:type="dxa"/>
          </w:tcPr>
          <w:p w14:paraId="44C54B6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Switzerland</w:t>
            </w:r>
          </w:p>
        </w:tc>
      </w:tr>
      <w:tr w:rsidR="00BC16EB" w14:paraId="6B6E5C45" w14:textId="77777777">
        <w:trPr>
          <w:trHeight w:val="440"/>
        </w:trPr>
        <w:tc>
          <w:tcPr>
            <w:tcW w:w="525" w:type="dxa"/>
            <w:tcMar>
              <w:top w:w="100" w:type="dxa"/>
              <w:left w:w="100" w:type="dxa"/>
              <w:bottom w:w="100" w:type="dxa"/>
              <w:right w:w="100" w:type="dxa"/>
            </w:tcMar>
          </w:tcPr>
          <w:p w14:paraId="25067C62"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p>
        </w:tc>
        <w:tc>
          <w:tcPr>
            <w:tcW w:w="990" w:type="dxa"/>
            <w:tcMar>
              <w:top w:w="0" w:type="dxa"/>
              <w:left w:w="40" w:type="dxa"/>
              <w:bottom w:w="0" w:type="dxa"/>
              <w:right w:w="40" w:type="dxa"/>
            </w:tcMar>
          </w:tcPr>
          <w:p w14:paraId="04DE7B3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Mar>
              <w:top w:w="0" w:type="dxa"/>
              <w:left w:w="40" w:type="dxa"/>
              <w:bottom w:w="0" w:type="dxa"/>
              <w:right w:w="40" w:type="dxa"/>
            </w:tcMar>
          </w:tcPr>
          <w:p w14:paraId="6629CEF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Halley, M. C., Rustagi, A. S., Torres, J. S., Linos, E., Plaut, V., Mangurian, C., Choo, E. &amp; Linos, E.</w:t>
            </w:r>
          </w:p>
        </w:tc>
        <w:tc>
          <w:tcPr>
            <w:tcW w:w="1770" w:type="dxa"/>
            <w:tcMar>
              <w:top w:w="0" w:type="dxa"/>
              <w:left w:w="40" w:type="dxa"/>
              <w:bottom w:w="0" w:type="dxa"/>
              <w:right w:w="40" w:type="dxa"/>
            </w:tcMar>
          </w:tcPr>
          <w:p w14:paraId="6CF689D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Physician mothers’ experience of workplace discrimination: a qualitative analysis</w:t>
            </w:r>
          </w:p>
        </w:tc>
        <w:tc>
          <w:tcPr>
            <w:tcW w:w="1065" w:type="dxa"/>
            <w:tcMar>
              <w:top w:w="0" w:type="dxa"/>
              <w:left w:w="40" w:type="dxa"/>
              <w:bottom w:w="0" w:type="dxa"/>
              <w:right w:w="40" w:type="dxa"/>
            </w:tcMar>
          </w:tcPr>
          <w:p w14:paraId="4913C7D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BMJ</w:t>
            </w:r>
          </w:p>
        </w:tc>
        <w:tc>
          <w:tcPr>
            <w:tcW w:w="1710" w:type="dxa"/>
            <w:tcMar>
              <w:top w:w="0" w:type="dxa"/>
              <w:left w:w="40" w:type="dxa"/>
              <w:bottom w:w="0" w:type="dxa"/>
              <w:right w:w="40" w:type="dxa"/>
            </w:tcMar>
          </w:tcPr>
          <w:p w14:paraId="16E653F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1D2F911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947</w:t>
            </w:r>
          </w:p>
        </w:tc>
        <w:tc>
          <w:tcPr>
            <w:tcW w:w="4455" w:type="dxa"/>
            <w:tcMar>
              <w:top w:w="0" w:type="dxa"/>
              <w:left w:w="40" w:type="dxa"/>
              <w:bottom w:w="0" w:type="dxa"/>
              <w:right w:w="40" w:type="dxa"/>
            </w:tcMar>
          </w:tcPr>
          <w:p w14:paraId="44DE8E0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Participants provide diverse and vivid descriptions of experiences of maternal discrimination. Gendered job expectations, financial inequalities (including lower pay than equally qualified colleagues and more unpaid work), limited opportunities for advancement, lack of support during the pregnancy and postpartum period, and challenging work-life balance are some of the key themes identified. In addition, participants’ quotes show several potential structural drivers of maternal discrimination and describe t</w:t>
            </w:r>
            <w:r>
              <w:rPr>
                <w:rFonts w:ascii="Times New Roman" w:eastAsia="Times New Roman" w:hAnsi="Times New Roman" w:cs="Times New Roman"/>
                <w:sz w:val="18"/>
                <w:szCs w:val="18"/>
              </w:rPr>
              <w:t>he downstream consequences of maternal discrimination.</w:t>
            </w:r>
          </w:p>
        </w:tc>
        <w:tc>
          <w:tcPr>
            <w:tcW w:w="1290" w:type="dxa"/>
            <w:tcMar>
              <w:top w:w="0" w:type="dxa"/>
              <w:left w:w="40" w:type="dxa"/>
              <w:bottom w:w="0" w:type="dxa"/>
              <w:right w:w="40" w:type="dxa"/>
            </w:tcMar>
          </w:tcPr>
          <w:p w14:paraId="28FA83F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 with free-text responses</w:t>
            </w:r>
          </w:p>
        </w:tc>
        <w:tc>
          <w:tcPr>
            <w:tcW w:w="1005" w:type="dxa"/>
            <w:tcMar>
              <w:top w:w="0" w:type="dxa"/>
              <w:left w:w="40" w:type="dxa"/>
              <w:bottom w:w="0" w:type="dxa"/>
              <w:right w:w="40" w:type="dxa"/>
            </w:tcMar>
          </w:tcPr>
          <w:p w14:paraId="2DA699F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3781617D" w14:textId="77777777">
        <w:trPr>
          <w:trHeight w:val="440"/>
        </w:trPr>
        <w:tc>
          <w:tcPr>
            <w:tcW w:w="525" w:type="dxa"/>
            <w:tcMar>
              <w:top w:w="100" w:type="dxa"/>
              <w:left w:w="100" w:type="dxa"/>
              <w:bottom w:w="100" w:type="dxa"/>
              <w:right w:w="100" w:type="dxa"/>
            </w:tcMar>
          </w:tcPr>
          <w:p w14:paraId="03D6A959"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24</w:t>
            </w:r>
          </w:p>
        </w:tc>
        <w:tc>
          <w:tcPr>
            <w:tcW w:w="990" w:type="dxa"/>
            <w:tcMar>
              <w:top w:w="0" w:type="dxa"/>
              <w:left w:w="40" w:type="dxa"/>
              <w:bottom w:w="0" w:type="dxa"/>
              <w:right w:w="40" w:type="dxa"/>
            </w:tcMar>
          </w:tcPr>
          <w:p w14:paraId="5D2B6C8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Mar>
              <w:top w:w="0" w:type="dxa"/>
              <w:left w:w="40" w:type="dxa"/>
              <w:bottom w:w="0" w:type="dxa"/>
              <w:right w:w="40" w:type="dxa"/>
            </w:tcMar>
          </w:tcPr>
          <w:p w14:paraId="65F090C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Little L. M., Hinojosa A. S., Paustian-Underdahl S., Zipay K. P.</w:t>
            </w:r>
          </w:p>
        </w:tc>
        <w:tc>
          <w:tcPr>
            <w:tcW w:w="1770" w:type="dxa"/>
            <w:tcMar>
              <w:top w:w="0" w:type="dxa"/>
              <w:left w:w="40" w:type="dxa"/>
              <w:bottom w:w="0" w:type="dxa"/>
              <w:right w:w="40" w:type="dxa"/>
            </w:tcMar>
          </w:tcPr>
          <w:p w14:paraId="58EDF7AE" w14:textId="77777777" w:rsidR="00BC16EB" w:rsidRDefault="005714A1">
            <w:pPr>
              <w:pStyle w:val="Heading1"/>
              <w:keepNext w:val="0"/>
              <w:keepLines w:val="0"/>
              <w:spacing w:before="0" w:after="0" w:line="480" w:lineRule="auto"/>
              <w:rPr>
                <w:rFonts w:ascii="Times New Roman" w:eastAsia="Times New Roman" w:hAnsi="Times New Roman" w:cs="Times New Roman"/>
                <w:sz w:val="18"/>
                <w:szCs w:val="18"/>
              </w:rPr>
            </w:pPr>
            <w:bookmarkStart w:id="1" w:name="_39esovq3l70" w:colFirst="0" w:colLast="0"/>
            <w:bookmarkEnd w:id="1"/>
            <w:r>
              <w:rPr>
                <w:rFonts w:ascii="Times New Roman" w:eastAsia="Times New Roman" w:hAnsi="Times New Roman" w:cs="Times New Roman"/>
                <w:sz w:val="18"/>
                <w:szCs w:val="18"/>
              </w:rPr>
              <w:t>Managing the Harmful Effects of Unsupportive Organizations During Pregnancy</w:t>
            </w:r>
          </w:p>
        </w:tc>
        <w:tc>
          <w:tcPr>
            <w:tcW w:w="1065" w:type="dxa"/>
            <w:tcMar>
              <w:top w:w="0" w:type="dxa"/>
              <w:left w:w="40" w:type="dxa"/>
              <w:bottom w:w="0" w:type="dxa"/>
              <w:right w:w="40" w:type="dxa"/>
            </w:tcMar>
          </w:tcPr>
          <w:p w14:paraId="3C43B79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applied psychology</w:t>
            </w:r>
          </w:p>
        </w:tc>
        <w:tc>
          <w:tcPr>
            <w:tcW w:w="1710" w:type="dxa"/>
          </w:tcPr>
          <w:p w14:paraId="0CE5D1A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Cohort Study</w:t>
            </w:r>
          </w:p>
        </w:tc>
        <w:tc>
          <w:tcPr>
            <w:tcW w:w="1110" w:type="dxa"/>
            <w:tcMar>
              <w:top w:w="0" w:type="dxa"/>
              <w:left w:w="40" w:type="dxa"/>
              <w:bottom w:w="0" w:type="dxa"/>
              <w:right w:w="40" w:type="dxa"/>
            </w:tcMar>
          </w:tcPr>
          <w:p w14:paraId="67A7B77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 xml:space="preserve">The final sample, using listwise deletion, comprised 124 pregnant working women. </w:t>
            </w:r>
          </w:p>
        </w:tc>
        <w:tc>
          <w:tcPr>
            <w:tcW w:w="4455" w:type="dxa"/>
            <w:tcMar>
              <w:top w:w="0" w:type="dxa"/>
              <w:left w:w="40" w:type="dxa"/>
              <w:bottom w:w="0" w:type="dxa"/>
              <w:right w:w="40" w:type="dxa"/>
            </w:tcMar>
          </w:tcPr>
          <w:p w14:paraId="283585D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Specifically, we find that image maintenance strategies—impression management strategies aimed at maintaining one’s prepregnancy image—are associated with decreases in work stress and work—family conflict over the course of pregnancy, while decategorization—impression management strategies aimed at avoiding negative outcomes by hiding the pregnancy or dodging the issue—are related to increases in work–family conflict. These results suggest strategies for both organizations and pregnant workers to decrease s</w:t>
            </w:r>
            <w:r>
              <w:rPr>
                <w:rFonts w:ascii="Times New Roman" w:eastAsia="Times New Roman" w:hAnsi="Times New Roman" w:cs="Times New Roman"/>
                <w:sz w:val="18"/>
                <w:szCs w:val="18"/>
                <w:highlight w:val="white"/>
              </w:rPr>
              <w:t>tress during a time when health is vital for both mother and baby.</w:t>
            </w:r>
          </w:p>
        </w:tc>
        <w:tc>
          <w:tcPr>
            <w:tcW w:w="1290" w:type="dxa"/>
            <w:tcMar>
              <w:top w:w="0" w:type="dxa"/>
              <w:left w:w="40" w:type="dxa"/>
              <w:bottom w:w="0" w:type="dxa"/>
              <w:right w:w="40" w:type="dxa"/>
            </w:tcMar>
          </w:tcPr>
          <w:p w14:paraId="285BE1B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Survey</w:t>
            </w:r>
          </w:p>
        </w:tc>
        <w:tc>
          <w:tcPr>
            <w:tcW w:w="1005" w:type="dxa"/>
            <w:tcMar>
              <w:top w:w="0" w:type="dxa"/>
              <w:left w:w="40" w:type="dxa"/>
              <w:bottom w:w="0" w:type="dxa"/>
              <w:right w:w="40" w:type="dxa"/>
            </w:tcMar>
          </w:tcPr>
          <w:p w14:paraId="67EE2EAC"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61FFD543" w14:textId="77777777">
        <w:trPr>
          <w:trHeight w:val="440"/>
        </w:trPr>
        <w:tc>
          <w:tcPr>
            <w:tcW w:w="525" w:type="dxa"/>
            <w:tcMar>
              <w:top w:w="100" w:type="dxa"/>
              <w:left w:w="100" w:type="dxa"/>
              <w:bottom w:w="100" w:type="dxa"/>
              <w:right w:w="100" w:type="dxa"/>
            </w:tcMar>
          </w:tcPr>
          <w:p w14:paraId="7985CC8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990" w:type="dxa"/>
          </w:tcPr>
          <w:p w14:paraId="1D053CC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Pr>
          <w:p w14:paraId="6CF8719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Rangel, E. L., Castillo-Angeles, M., Changala, M. et al.</w:t>
            </w:r>
          </w:p>
        </w:tc>
        <w:tc>
          <w:tcPr>
            <w:tcW w:w="1770" w:type="dxa"/>
          </w:tcPr>
          <w:p w14:paraId="122A472F" w14:textId="77777777" w:rsidR="00BC16EB" w:rsidRDefault="005714A1">
            <w:pPr>
              <w:pStyle w:val="Heading1"/>
              <w:keepNext w:val="0"/>
              <w:keepLines w:val="0"/>
              <w:spacing w:before="0" w:line="480" w:lineRule="auto"/>
              <w:rPr>
                <w:rFonts w:ascii="Times New Roman" w:eastAsia="Times New Roman" w:hAnsi="Times New Roman" w:cs="Times New Roman"/>
                <w:sz w:val="18"/>
                <w:szCs w:val="18"/>
              </w:rPr>
            </w:pPr>
            <w:bookmarkStart w:id="2" w:name="_7i2jl673bhz7" w:colFirst="0" w:colLast="0"/>
            <w:bookmarkEnd w:id="2"/>
            <w:r>
              <w:rPr>
                <w:rFonts w:ascii="Times New Roman" w:eastAsia="Times New Roman" w:hAnsi="Times New Roman" w:cs="Times New Roman"/>
                <w:sz w:val="18"/>
                <w:szCs w:val="18"/>
              </w:rPr>
              <w:t>Perspectives of pregnancy and motherhood among general surgery residents: A qualitative analysis</w:t>
            </w:r>
          </w:p>
        </w:tc>
        <w:tc>
          <w:tcPr>
            <w:tcW w:w="1065" w:type="dxa"/>
          </w:tcPr>
          <w:p w14:paraId="7AF998D5" w14:textId="77777777" w:rsidR="00BC16EB" w:rsidRDefault="005714A1">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The American Journal of Surgery</w:t>
            </w:r>
          </w:p>
        </w:tc>
        <w:tc>
          <w:tcPr>
            <w:tcW w:w="1710" w:type="dxa"/>
          </w:tcPr>
          <w:p w14:paraId="54691D8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5F9E076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219</w:t>
            </w:r>
          </w:p>
        </w:tc>
        <w:tc>
          <w:tcPr>
            <w:tcW w:w="4455" w:type="dxa"/>
            <w:tcMar>
              <w:top w:w="0" w:type="dxa"/>
              <w:left w:w="40" w:type="dxa"/>
              <w:bottom w:w="0" w:type="dxa"/>
              <w:right w:w="40" w:type="dxa"/>
            </w:tcMar>
          </w:tcPr>
          <w:p w14:paraId="4C8FBC7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Six themes characterised the pregnancy experience of 219 surgeons in residency. Respondents: 1) desired work modifications during the late stages of pregnancy due to health concerns; </w:t>
            </w:r>
            <w:r>
              <w:rPr>
                <w:rFonts w:ascii="Times New Roman" w:eastAsia="Times New Roman" w:hAnsi="Times New Roman" w:cs="Times New Roman"/>
                <w:sz w:val="18"/>
                <w:szCs w:val="18"/>
              </w:rPr>
              <w:br/>
              <w:t xml:space="preserve">2) regarded maternity leave as too short; 3) perceived stigma related to pregnancy; 4) expressed need for greater lactation and childcare support; </w:t>
            </w:r>
            <w:r>
              <w:rPr>
                <w:rFonts w:ascii="Times New Roman" w:eastAsia="Times New Roman" w:hAnsi="Times New Roman" w:cs="Times New Roman"/>
                <w:sz w:val="18"/>
                <w:szCs w:val="18"/>
              </w:rPr>
              <w:br/>
              <w:t xml:space="preserve">5) desired mentorship on work-family integration; </w:t>
            </w:r>
            <w:r>
              <w:rPr>
                <w:rFonts w:ascii="Times New Roman" w:eastAsia="Times New Roman" w:hAnsi="Times New Roman" w:cs="Times New Roman"/>
                <w:sz w:val="18"/>
                <w:szCs w:val="18"/>
              </w:rPr>
              <w:br/>
              <w:t>6) placed value on supportive colleagues and faculty.</w:t>
            </w:r>
          </w:p>
        </w:tc>
        <w:tc>
          <w:tcPr>
            <w:tcW w:w="1290" w:type="dxa"/>
            <w:tcMar>
              <w:top w:w="0" w:type="dxa"/>
              <w:left w:w="40" w:type="dxa"/>
              <w:bottom w:w="0" w:type="dxa"/>
              <w:right w:w="40" w:type="dxa"/>
            </w:tcMar>
          </w:tcPr>
          <w:p w14:paraId="413DC8D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 electronic survey with three open-ended questions</w:t>
            </w:r>
          </w:p>
        </w:tc>
        <w:tc>
          <w:tcPr>
            <w:tcW w:w="1005" w:type="dxa"/>
            <w:tcMar>
              <w:top w:w="0" w:type="dxa"/>
              <w:left w:w="40" w:type="dxa"/>
              <w:bottom w:w="0" w:type="dxa"/>
              <w:right w:w="40" w:type="dxa"/>
            </w:tcMar>
          </w:tcPr>
          <w:p w14:paraId="7A4FC9DB"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206C8620" w14:textId="77777777">
        <w:trPr>
          <w:trHeight w:val="440"/>
        </w:trPr>
        <w:tc>
          <w:tcPr>
            <w:tcW w:w="525" w:type="dxa"/>
            <w:tcMar>
              <w:top w:w="100" w:type="dxa"/>
              <w:left w:w="100" w:type="dxa"/>
              <w:bottom w:w="100" w:type="dxa"/>
              <w:right w:w="100" w:type="dxa"/>
            </w:tcMar>
          </w:tcPr>
          <w:p w14:paraId="2EA54B2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26</w:t>
            </w:r>
          </w:p>
        </w:tc>
        <w:tc>
          <w:tcPr>
            <w:tcW w:w="990" w:type="dxa"/>
          </w:tcPr>
          <w:p w14:paraId="1641BD0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Pr>
          <w:p w14:paraId="72FDEB3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Verniers, C., &amp; Vala, J. </w:t>
            </w:r>
          </w:p>
        </w:tc>
        <w:tc>
          <w:tcPr>
            <w:tcW w:w="1770" w:type="dxa"/>
          </w:tcPr>
          <w:p w14:paraId="123695B9" w14:textId="77777777" w:rsidR="00BC16EB" w:rsidRDefault="005714A1">
            <w:pPr>
              <w:pStyle w:val="Heading1"/>
              <w:keepNext w:val="0"/>
              <w:keepLines w:val="0"/>
              <w:pBdr>
                <w:top w:val="none" w:sz="0" w:space="0" w:color="000000"/>
                <w:left w:val="none" w:sz="0" w:space="0" w:color="000000"/>
                <w:bottom w:val="none" w:sz="0" w:space="0" w:color="000000"/>
                <w:right w:val="none" w:sz="0" w:space="0" w:color="000000"/>
                <w:between w:val="none" w:sz="0" w:space="0" w:color="000000"/>
              </w:pBdr>
              <w:spacing w:before="0" w:after="140" w:line="480" w:lineRule="auto"/>
              <w:rPr>
                <w:rFonts w:ascii="Times New Roman" w:eastAsia="Times New Roman" w:hAnsi="Times New Roman" w:cs="Times New Roman"/>
                <w:sz w:val="18"/>
                <w:szCs w:val="18"/>
              </w:rPr>
            </w:pPr>
            <w:bookmarkStart w:id="3" w:name="_5v5nqlku1klq" w:colFirst="0" w:colLast="0"/>
            <w:bookmarkEnd w:id="3"/>
            <w:r>
              <w:rPr>
                <w:rFonts w:ascii="Times New Roman" w:eastAsia="Times New Roman" w:hAnsi="Times New Roman" w:cs="Times New Roman"/>
                <w:sz w:val="18"/>
                <w:szCs w:val="18"/>
              </w:rPr>
              <w:t>Justifying gender discrimination in the workplace: The mediating role of motherhood myths</w:t>
            </w:r>
          </w:p>
        </w:tc>
        <w:tc>
          <w:tcPr>
            <w:tcW w:w="1065" w:type="dxa"/>
          </w:tcPr>
          <w:p w14:paraId="531A98C5" w14:textId="77777777" w:rsidR="00BC16EB" w:rsidRDefault="005714A1">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PloS one</w:t>
            </w:r>
          </w:p>
        </w:tc>
        <w:tc>
          <w:tcPr>
            <w:tcW w:w="1710" w:type="dxa"/>
          </w:tcPr>
          <w:p w14:paraId="3E63B11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118E361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Study </w:t>
            </w:r>
          </w:p>
        </w:tc>
        <w:tc>
          <w:tcPr>
            <w:tcW w:w="1110" w:type="dxa"/>
          </w:tcPr>
          <w:p w14:paraId="17BE160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51,632 </w:t>
            </w:r>
          </w:p>
        </w:tc>
        <w:tc>
          <w:tcPr>
            <w:tcW w:w="4455" w:type="dxa"/>
          </w:tcPr>
          <w:p w14:paraId="725FE62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hypothesis of mediation was confirmed, with structural equation modelling demonstrating the proposed mediation effect. The findings shed light on how motherhood myths justify the gender structure in countries promoting gender equality. These results highlight the complex interplay between societal perceptions of motherhood and gender discrimination, suggesting that even in environments that advocate for gender equity, underlying stereotypes continue to influence attitudes towards working mothers.</w:t>
            </w:r>
          </w:p>
        </w:tc>
        <w:tc>
          <w:tcPr>
            <w:tcW w:w="1290" w:type="dxa"/>
          </w:tcPr>
          <w:p w14:paraId="640E522B"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Through the International Social Survey Programme (ISSP)</w:t>
            </w:r>
          </w:p>
        </w:tc>
        <w:tc>
          <w:tcPr>
            <w:tcW w:w="1005" w:type="dxa"/>
          </w:tcPr>
          <w:p w14:paraId="14732559"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Portugal; France</w:t>
            </w:r>
          </w:p>
        </w:tc>
      </w:tr>
      <w:tr w:rsidR="00BC16EB" w14:paraId="77C180E5" w14:textId="77777777">
        <w:trPr>
          <w:trHeight w:val="440"/>
        </w:trPr>
        <w:tc>
          <w:tcPr>
            <w:tcW w:w="525" w:type="dxa"/>
            <w:tcMar>
              <w:top w:w="100" w:type="dxa"/>
              <w:left w:w="100" w:type="dxa"/>
              <w:bottom w:w="100" w:type="dxa"/>
              <w:right w:w="100" w:type="dxa"/>
            </w:tcMar>
          </w:tcPr>
          <w:p w14:paraId="7E623557"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27</w:t>
            </w:r>
          </w:p>
        </w:tc>
        <w:tc>
          <w:tcPr>
            <w:tcW w:w="990" w:type="dxa"/>
          </w:tcPr>
          <w:p w14:paraId="18A541E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Borders>
              <w:bottom w:val="single" w:sz="6" w:space="0" w:color="000000"/>
            </w:tcBorders>
          </w:tcPr>
          <w:p w14:paraId="16DDA84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Zhuang, J., Bresnahan, M., Zhu, Y., Yan, X., Bogdan-Lovis, E., Goldbort, J., &amp; Haider, S.</w:t>
            </w:r>
          </w:p>
        </w:tc>
        <w:tc>
          <w:tcPr>
            <w:tcW w:w="1770" w:type="dxa"/>
            <w:tcBorders>
              <w:bottom w:val="single" w:sz="6" w:space="0" w:color="000000"/>
            </w:tcBorders>
          </w:tcPr>
          <w:p w14:paraId="508CE369" w14:textId="77777777" w:rsidR="00BC16EB" w:rsidRDefault="005714A1">
            <w:pPr>
              <w:pStyle w:val="Heading1"/>
              <w:keepNext w:val="0"/>
              <w:keepLines w:val="0"/>
              <w:pBdr>
                <w:top w:val="none" w:sz="0" w:space="0" w:color="000000"/>
                <w:left w:val="none" w:sz="0" w:space="0" w:color="000000"/>
                <w:bottom w:val="none" w:sz="0" w:space="0" w:color="000000"/>
                <w:right w:val="none" w:sz="0" w:space="0" w:color="000000"/>
                <w:between w:val="none" w:sz="0" w:space="0" w:color="000000"/>
              </w:pBdr>
              <w:spacing w:before="0" w:after="140" w:line="480" w:lineRule="auto"/>
              <w:rPr>
                <w:rFonts w:ascii="Times New Roman" w:eastAsia="Times New Roman" w:hAnsi="Times New Roman" w:cs="Times New Roman"/>
                <w:sz w:val="18"/>
                <w:szCs w:val="18"/>
              </w:rPr>
            </w:pPr>
            <w:bookmarkStart w:id="4" w:name="_uyz3scc34la7" w:colFirst="0" w:colLast="0"/>
            <w:bookmarkEnd w:id="4"/>
            <w:r>
              <w:rPr>
                <w:rFonts w:ascii="Times New Roman" w:eastAsia="Times New Roman" w:hAnsi="Times New Roman" w:cs="Times New Roman"/>
                <w:sz w:val="18"/>
                <w:szCs w:val="18"/>
              </w:rPr>
              <w:t>The impact of coworker support and stigma on breastfeeding after returning to work.</w:t>
            </w:r>
          </w:p>
        </w:tc>
        <w:tc>
          <w:tcPr>
            <w:tcW w:w="1065" w:type="dxa"/>
            <w:tcBorders>
              <w:bottom w:val="single" w:sz="6" w:space="0" w:color="000000"/>
            </w:tcBorders>
          </w:tcPr>
          <w:p w14:paraId="47FD2184" w14:textId="77777777" w:rsidR="00BC16EB" w:rsidRDefault="005714A1">
            <w:pPr>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Journal of Applied Communication Research</w:t>
            </w:r>
          </w:p>
        </w:tc>
        <w:tc>
          <w:tcPr>
            <w:tcW w:w="1710" w:type="dxa"/>
            <w:tcBorders>
              <w:bottom w:val="single" w:sz="6" w:space="0" w:color="000000"/>
            </w:tcBorders>
          </w:tcPr>
          <w:p w14:paraId="54FB8DC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517B20C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Study </w:t>
            </w:r>
          </w:p>
        </w:tc>
        <w:tc>
          <w:tcPr>
            <w:tcW w:w="1110" w:type="dxa"/>
            <w:tcBorders>
              <w:bottom w:val="single" w:sz="6" w:space="0" w:color="000000"/>
            </w:tcBorders>
          </w:tcPr>
          <w:p w14:paraId="7BA5341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1000</w:t>
            </w:r>
          </w:p>
        </w:tc>
        <w:tc>
          <w:tcPr>
            <w:tcW w:w="4455" w:type="dxa"/>
            <w:tcBorders>
              <w:bottom w:val="single" w:sz="6" w:space="0" w:color="000000"/>
            </w:tcBorders>
          </w:tcPr>
          <w:p w14:paraId="0BCBCF8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This study examined how coworker perceptions of fairness, support, ick response, and stigma contributed to intention to help a breastfeeding colleague. In addition, this research also tested how employed women’s perceptions of coworker reaction to pumping breastmilk at work affected mothers’ breastfeeding self-efficacy. The results showed that perception of fairness and support for breastfeeding had a direct and significant impact on coworker behavioural intention to help a nursing colleague. Perceptions of</w:t>
            </w:r>
            <w:r>
              <w:rPr>
                <w:rFonts w:ascii="Times New Roman" w:eastAsia="Times New Roman" w:hAnsi="Times New Roman" w:cs="Times New Roman"/>
                <w:sz w:val="18"/>
                <w:szCs w:val="18"/>
              </w:rPr>
              <w:t xml:space="preserve"> fairness and degree of coworker </w:t>
            </w:r>
            <w:r>
              <w:rPr>
                <w:rFonts w:ascii="Times New Roman" w:eastAsia="Times New Roman" w:hAnsi="Times New Roman" w:cs="Times New Roman"/>
                <w:sz w:val="18"/>
                <w:szCs w:val="18"/>
              </w:rPr>
              <w:lastRenderedPageBreak/>
              <w:t>support were positively associated with lactating participants’ self-efficacy to continue pumping breastmilk at work. These results suggest that while the majority of coworkers are generally supportive, lactating women are likely to encounter disapproving coworkers who may discourage them from continuing to breastfeed. The data showed that the majority of organisations included in this study have only passively fostered mother-friendly workplaces and could do more to encoura</w:t>
            </w:r>
            <w:r>
              <w:rPr>
                <w:rFonts w:ascii="Times New Roman" w:eastAsia="Times New Roman" w:hAnsi="Times New Roman" w:cs="Times New Roman"/>
                <w:sz w:val="18"/>
                <w:szCs w:val="18"/>
              </w:rPr>
              <w:t xml:space="preserve">ge employees to be supportive of lactating colleagues.                                                                                                                                                                                                                                         </w:t>
            </w:r>
          </w:p>
        </w:tc>
        <w:tc>
          <w:tcPr>
            <w:tcW w:w="1290" w:type="dxa"/>
          </w:tcPr>
          <w:p w14:paraId="24E5A6B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Survey</w:t>
            </w:r>
          </w:p>
        </w:tc>
        <w:tc>
          <w:tcPr>
            <w:tcW w:w="1005" w:type="dxa"/>
            <w:tcBorders>
              <w:bottom w:val="single" w:sz="6" w:space="0" w:color="000000"/>
            </w:tcBorders>
          </w:tcPr>
          <w:p w14:paraId="193A970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7D2BAB11" w14:textId="77777777">
        <w:trPr>
          <w:trHeight w:val="440"/>
        </w:trPr>
        <w:tc>
          <w:tcPr>
            <w:tcW w:w="525" w:type="dxa"/>
            <w:tcMar>
              <w:top w:w="100" w:type="dxa"/>
              <w:left w:w="100" w:type="dxa"/>
              <w:bottom w:w="100" w:type="dxa"/>
              <w:right w:w="100" w:type="dxa"/>
            </w:tcMar>
          </w:tcPr>
          <w:p w14:paraId="557AD3B7"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28</w:t>
            </w:r>
          </w:p>
        </w:tc>
        <w:tc>
          <w:tcPr>
            <w:tcW w:w="990" w:type="dxa"/>
          </w:tcPr>
          <w:p w14:paraId="6418FD8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2019</w:t>
            </w:r>
          </w:p>
        </w:tc>
        <w:tc>
          <w:tcPr>
            <w:tcW w:w="1110" w:type="dxa"/>
          </w:tcPr>
          <w:p w14:paraId="2DC2188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Frodermann, C., &amp; Müller, D. </w:t>
            </w:r>
          </w:p>
        </w:tc>
        <w:tc>
          <w:tcPr>
            <w:tcW w:w="1770" w:type="dxa"/>
          </w:tcPr>
          <w:p w14:paraId="0A33C4A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Establishment closures in Germany: the motherhood penalty at job search durations</w:t>
            </w:r>
          </w:p>
        </w:tc>
        <w:tc>
          <w:tcPr>
            <w:tcW w:w="1065" w:type="dxa"/>
          </w:tcPr>
          <w:p w14:paraId="7F0B99F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European Sociological Review</w:t>
            </w:r>
          </w:p>
        </w:tc>
        <w:tc>
          <w:tcPr>
            <w:tcW w:w="1710" w:type="dxa"/>
          </w:tcPr>
          <w:p w14:paraId="7B1FC45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0CBC55C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w:t>
            </w:r>
          </w:p>
        </w:tc>
        <w:tc>
          <w:tcPr>
            <w:tcW w:w="1110" w:type="dxa"/>
          </w:tcPr>
          <w:p w14:paraId="3033D69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3,000 </w:t>
            </w:r>
          </w:p>
        </w:tc>
        <w:tc>
          <w:tcPr>
            <w:tcW w:w="4455" w:type="dxa"/>
          </w:tcPr>
          <w:p w14:paraId="4FBB2449"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Even after extensive robustness checks that back up the main findings, we can show that mothers have lower transition rates to re-employment than childless women.</w:t>
            </w:r>
          </w:p>
        </w:tc>
        <w:tc>
          <w:tcPr>
            <w:tcW w:w="1290" w:type="dxa"/>
          </w:tcPr>
          <w:p w14:paraId="596BD36B"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Structural equation modelling (SEM) </w:t>
            </w:r>
          </w:p>
        </w:tc>
        <w:tc>
          <w:tcPr>
            <w:tcW w:w="1005" w:type="dxa"/>
          </w:tcPr>
          <w:p w14:paraId="189A93F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Germany</w:t>
            </w:r>
          </w:p>
        </w:tc>
      </w:tr>
      <w:tr w:rsidR="00BC16EB" w14:paraId="706FE373" w14:textId="77777777">
        <w:trPr>
          <w:trHeight w:val="440"/>
        </w:trPr>
        <w:tc>
          <w:tcPr>
            <w:tcW w:w="525" w:type="dxa"/>
            <w:tcMar>
              <w:top w:w="100" w:type="dxa"/>
              <w:left w:w="100" w:type="dxa"/>
              <w:bottom w:w="100" w:type="dxa"/>
              <w:right w:w="100" w:type="dxa"/>
            </w:tcMar>
          </w:tcPr>
          <w:p w14:paraId="0F4EB5C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29</w:t>
            </w:r>
          </w:p>
        </w:tc>
        <w:tc>
          <w:tcPr>
            <w:tcW w:w="990" w:type="dxa"/>
          </w:tcPr>
          <w:p w14:paraId="59A1081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2019</w:t>
            </w:r>
          </w:p>
        </w:tc>
        <w:tc>
          <w:tcPr>
            <w:tcW w:w="1110" w:type="dxa"/>
          </w:tcPr>
          <w:p w14:paraId="11BFF79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Juengst, S. B., Royston, A., Huang, I. et al.</w:t>
            </w:r>
          </w:p>
        </w:tc>
        <w:tc>
          <w:tcPr>
            <w:tcW w:w="1770" w:type="dxa"/>
          </w:tcPr>
          <w:p w14:paraId="0C89BC7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Family leave and return-to-work experiences of physician mothers</w:t>
            </w:r>
          </w:p>
        </w:tc>
        <w:tc>
          <w:tcPr>
            <w:tcW w:w="1065" w:type="dxa"/>
          </w:tcPr>
          <w:p w14:paraId="1B0FD09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JAMA Netw Open</w:t>
            </w:r>
          </w:p>
        </w:tc>
        <w:tc>
          <w:tcPr>
            <w:tcW w:w="1710" w:type="dxa"/>
          </w:tcPr>
          <w:p w14:paraId="48C1DC8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5036700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w:t>
            </w:r>
          </w:p>
        </w:tc>
        <w:tc>
          <w:tcPr>
            <w:tcW w:w="1110" w:type="dxa"/>
          </w:tcPr>
          <w:p w14:paraId="53738FFB"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844 </w:t>
            </w:r>
          </w:p>
        </w:tc>
        <w:tc>
          <w:tcPr>
            <w:tcW w:w="4455" w:type="dxa"/>
          </w:tcPr>
          <w:p w14:paraId="1367842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study found that many physician mothers feel their maternity leave is insufficient, with most preferring between 11 weeks and 6 months. Negative experiences upon returning to work include a lack of breast pumping </w:t>
            </w:r>
            <w:r>
              <w:rPr>
                <w:rFonts w:ascii="Times New Roman" w:eastAsia="Times New Roman" w:hAnsi="Times New Roman" w:cs="Times New Roman"/>
                <w:sz w:val="18"/>
                <w:szCs w:val="18"/>
              </w:rPr>
              <w:lastRenderedPageBreak/>
              <w:t>facilities, inadequate time for pumping, and perceived discrimination. Despite these challenges, many reported emotional support from colleagues. The study highlights a strong need for better institutional support, such as paid leave, childcare, and flexible schedules, to help physician mothers balance their professional and family responsibilities.</w:t>
            </w:r>
          </w:p>
        </w:tc>
        <w:tc>
          <w:tcPr>
            <w:tcW w:w="1290" w:type="dxa"/>
          </w:tcPr>
          <w:p w14:paraId="05466CB9"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Electronic survey</w:t>
            </w:r>
          </w:p>
          <w:p w14:paraId="79C5956C" w14:textId="77777777" w:rsidR="00BC16EB" w:rsidRDefault="00BC16EB">
            <w:pPr>
              <w:spacing w:line="480" w:lineRule="auto"/>
              <w:rPr>
                <w:rFonts w:ascii="Times New Roman" w:eastAsia="Times New Roman" w:hAnsi="Times New Roman" w:cs="Times New Roman"/>
                <w:sz w:val="18"/>
                <w:szCs w:val="18"/>
              </w:rPr>
            </w:pPr>
          </w:p>
        </w:tc>
        <w:tc>
          <w:tcPr>
            <w:tcW w:w="1005" w:type="dxa"/>
          </w:tcPr>
          <w:p w14:paraId="2C02547C"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1E99234E" w14:textId="77777777">
        <w:trPr>
          <w:trHeight w:val="440"/>
        </w:trPr>
        <w:tc>
          <w:tcPr>
            <w:tcW w:w="525" w:type="dxa"/>
            <w:tcMar>
              <w:top w:w="100" w:type="dxa"/>
              <w:left w:w="100" w:type="dxa"/>
              <w:bottom w:w="100" w:type="dxa"/>
              <w:right w:w="100" w:type="dxa"/>
            </w:tcMar>
          </w:tcPr>
          <w:p w14:paraId="0F759AC8"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990" w:type="dxa"/>
          </w:tcPr>
          <w:p w14:paraId="2DBFA2A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2019</w:t>
            </w:r>
          </w:p>
        </w:tc>
        <w:tc>
          <w:tcPr>
            <w:tcW w:w="1110" w:type="dxa"/>
          </w:tcPr>
          <w:p w14:paraId="2BCEC84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Kim, J. H., Oh, S. S., Bae, S. W. et al.</w:t>
            </w:r>
          </w:p>
        </w:tc>
        <w:tc>
          <w:tcPr>
            <w:tcW w:w="1770" w:type="dxa"/>
          </w:tcPr>
          <w:p w14:paraId="36E5A103"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Gender discrimination in the workplace: effects on pregnancy planning and childbirth among South Korean women</w:t>
            </w:r>
          </w:p>
        </w:tc>
        <w:tc>
          <w:tcPr>
            <w:tcW w:w="1065" w:type="dxa"/>
          </w:tcPr>
          <w:p w14:paraId="225EAE6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International journal of environmental research and public health.</w:t>
            </w:r>
          </w:p>
        </w:tc>
        <w:tc>
          <w:tcPr>
            <w:tcW w:w="1710" w:type="dxa"/>
          </w:tcPr>
          <w:p w14:paraId="25569099"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04F600D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w:t>
            </w:r>
          </w:p>
        </w:tc>
        <w:tc>
          <w:tcPr>
            <w:tcW w:w="1110" w:type="dxa"/>
          </w:tcPr>
          <w:p w14:paraId="6C8C22D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7.996</w:t>
            </w:r>
          </w:p>
        </w:tc>
        <w:tc>
          <w:tcPr>
            <w:tcW w:w="4455" w:type="dxa"/>
          </w:tcPr>
          <w:p w14:paraId="57212B9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study found that gender discrimination in the workplace negatively affects pregnancy planning and childbirth experiences among South Korean women. Women experiencing discrimination had lower odds of planning for pregnancy and giving birth. The impact was more pronounced in low and medium income groups. The findings emphasize the need for policies that address workplace gender discrimination to support women’s reproductive choices and improve fertility rates.​</w:t>
            </w:r>
          </w:p>
        </w:tc>
        <w:tc>
          <w:tcPr>
            <w:tcW w:w="1290" w:type="dxa"/>
          </w:tcPr>
          <w:p w14:paraId="2E91C3A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Face-to-face interviews using a computer-assisted personal interview (CAPI) system</w:t>
            </w:r>
          </w:p>
          <w:p w14:paraId="290CA7CE" w14:textId="77777777" w:rsidR="00BC16EB" w:rsidRDefault="00BC16EB">
            <w:pPr>
              <w:spacing w:line="480" w:lineRule="auto"/>
              <w:rPr>
                <w:rFonts w:ascii="Times New Roman" w:eastAsia="Times New Roman" w:hAnsi="Times New Roman" w:cs="Times New Roman"/>
                <w:sz w:val="18"/>
                <w:szCs w:val="18"/>
              </w:rPr>
            </w:pPr>
          </w:p>
        </w:tc>
        <w:tc>
          <w:tcPr>
            <w:tcW w:w="1005" w:type="dxa"/>
          </w:tcPr>
          <w:p w14:paraId="658E4926"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South Korea</w:t>
            </w:r>
          </w:p>
        </w:tc>
      </w:tr>
      <w:tr w:rsidR="00BC16EB" w14:paraId="7EA49412" w14:textId="77777777">
        <w:trPr>
          <w:trHeight w:val="440"/>
        </w:trPr>
        <w:tc>
          <w:tcPr>
            <w:tcW w:w="525" w:type="dxa"/>
            <w:tcMar>
              <w:top w:w="100" w:type="dxa"/>
              <w:left w:w="100" w:type="dxa"/>
              <w:bottom w:w="100" w:type="dxa"/>
              <w:right w:w="100" w:type="dxa"/>
            </w:tcMar>
          </w:tcPr>
          <w:p w14:paraId="73EC1B69"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31</w:t>
            </w:r>
          </w:p>
        </w:tc>
        <w:tc>
          <w:tcPr>
            <w:tcW w:w="990" w:type="dxa"/>
            <w:tcMar>
              <w:top w:w="0" w:type="dxa"/>
              <w:left w:w="40" w:type="dxa"/>
              <w:bottom w:w="0" w:type="dxa"/>
              <w:right w:w="40" w:type="dxa"/>
            </w:tcMar>
          </w:tcPr>
          <w:p w14:paraId="43E46E3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2019</w:t>
            </w:r>
          </w:p>
        </w:tc>
        <w:tc>
          <w:tcPr>
            <w:tcW w:w="1110" w:type="dxa"/>
            <w:tcMar>
              <w:top w:w="0" w:type="dxa"/>
              <w:left w:w="40" w:type="dxa"/>
              <w:bottom w:w="0" w:type="dxa"/>
              <w:right w:w="40" w:type="dxa"/>
            </w:tcMar>
          </w:tcPr>
          <w:p w14:paraId="2D64797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 xml:space="preserve">Zhuang, J., Bresnahan, M. J., Yan, X., Zhu, Y., </w:t>
            </w:r>
            <w:r>
              <w:rPr>
                <w:rFonts w:ascii="Times New Roman" w:eastAsia="Times New Roman" w:hAnsi="Times New Roman" w:cs="Times New Roman"/>
                <w:color w:val="222222"/>
                <w:sz w:val="18"/>
                <w:szCs w:val="18"/>
                <w:highlight w:val="white"/>
              </w:rPr>
              <w:lastRenderedPageBreak/>
              <w:t>Goldbort, J., &amp; Bogdan-Lovis, E.</w:t>
            </w:r>
          </w:p>
        </w:tc>
        <w:tc>
          <w:tcPr>
            <w:tcW w:w="1770" w:type="dxa"/>
            <w:tcMar>
              <w:top w:w="0" w:type="dxa"/>
              <w:left w:w="40" w:type="dxa"/>
              <w:bottom w:w="0" w:type="dxa"/>
              <w:right w:w="40" w:type="dxa"/>
            </w:tcMar>
          </w:tcPr>
          <w:p w14:paraId="0294830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Keep doing the good work: Impact of coworker and community support on </w:t>
            </w:r>
            <w:r>
              <w:rPr>
                <w:rFonts w:ascii="Times New Roman" w:eastAsia="Times New Roman" w:hAnsi="Times New Roman" w:cs="Times New Roman"/>
                <w:sz w:val="18"/>
                <w:szCs w:val="18"/>
              </w:rPr>
              <w:lastRenderedPageBreak/>
              <w:t>continuation of breastfeeding</w:t>
            </w:r>
          </w:p>
        </w:tc>
        <w:tc>
          <w:tcPr>
            <w:tcW w:w="1065" w:type="dxa"/>
            <w:tcMar>
              <w:top w:w="0" w:type="dxa"/>
              <w:left w:w="40" w:type="dxa"/>
              <w:bottom w:w="0" w:type="dxa"/>
              <w:right w:w="40" w:type="dxa"/>
            </w:tcMar>
          </w:tcPr>
          <w:p w14:paraId="1673713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Health Communication</w:t>
            </w:r>
          </w:p>
        </w:tc>
        <w:tc>
          <w:tcPr>
            <w:tcW w:w="1710" w:type="dxa"/>
            <w:tcMar>
              <w:top w:w="0" w:type="dxa"/>
              <w:left w:w="40" w:type="dxa"/>
              <w:bottom w:w="0" w:type="dxa"/>
              <w:right w:w="40" w:type="dxa"/>
            </w:tcMar>
          </w:tcPr>
          <w:p w14:paraId="65CC3F3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Mar>
              <w:top w:w="0" w:type="dxa"/>
              <w:left w:w="40" w:type="dxa"/>
              <w:bottom w:w="0" w:type="dxa"/>
              <w:right w:w="40" w:type="dxa"/>
            </w:tcMar>
          </w:tcPr>
          <w:p w14:paraId="67A26D8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500 </w:t>
            </w:r>
          </w:p>
        </w:tc>
        <w:tc>
          <w:tcPr>
            <w:tcW w:w="4455" w:type="dxa"/>
            <w:tcMar>
              <w:top w:w="0" w:type="dxa"/>
              <w:left w:w="40" w:type="dxa"/>
              <w:bottom w:w="0" w:type="dxa"/>
              <w:right w:w="40" w:type="dxa"/>
            </w:tcMar>
          </w:tcPr>
          <w:p w14:paraId="5D50F5F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This research found that female coworker support of other women played an important role in affecting mothers’ decision to continue breastfeeding after returning to work and contributed to breastfeeding self efficacy. The findings </w:t>
            </w:r>
            <w:r>
              <w:rPr>
                <w:rFonts w:ascii="Times New Roman" w:eastAsia="Times New Roman" w:hAnsi="Times New Roman" w:cs="Times New Roman"/>
                <w:sz w:val="18"/>
                <w:szCs w:val="18"/>
              </w:rPr>
              <w:lastRenderedPageBreak/>
              <w:t>suggest that mothers’ perception of supportive coworker communication has an impact on sustained breastfeeding. Workplaces need to enhance the mother-friendly climate by encouraging and rewarding coworkers and providing support necessary for breastfeeding colleagues.</w:t>
            </w:r>
          </w:p>
        </w:tc>
        <w:tc>
          <w:tcPr>
            <w:tcW w:w="1290" w:type="dxa"/>
            <w:tcMar>
              <w:top w:w="0" w:type="dxa"/>
              <w:left w:w="40" w:type="dxa"/>
              <w:bottom w:w="0" w:type="dxa"/>
              <w:right w:w="40" w:type="dxa"/>
            </w:tcMar>
          </w:tcPr>
          <w:p w14:paraId="05F8CC5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Survey</w:t>
            </w:r>
          </w:p>
        </w:tc>
        <w:tc>
          <w:tcPr>
            <w:tcW w:w="1005" w:type="dxa"/>
            <w:tcMar>
              <w:top w:w="0" w:type="dxa"/>
              <w:left w:w="40" w:type="dxa"/>
              <w:bottom w:w="0" w:type="dxa"/>
              <w:right w:w="40" w:type="dxa"/>
            </w:tcMar>
          </w:tcPr>
          <w:p w14:paraId="34C4D82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023ADC44" w14:textId="77777777">
        <w:trPr>
          <w:trHeight w:val="440"/>
        </w:trPr>
        <w:tc>
          <w:tcPr>
            <w:tcW w:w="525" w:type="dxa"/>
            <w:tcMar>
              <w:top w:w="100" w:type="dxa"/>
              <w:left w:w="100" w:type="dxa"/>
              <w:bottom w:w="100" w:type="dxa"/>
              <w:right w:w="100" w:type="dxa"/>
            </w:tcMar>
          </w:tcPr>
          <w:p w14:paraId="0AD1832F"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990" w:type="dxa"/>
            <w:tcBorders>
              <w:right w:val="single" w:sz="6" w:space="0" w:color="000000"/>
            </w:tcBorders>
          </w:tcPr>
          <w:p w14:paraId="22A2534E"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86297C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Akhtar, T., &amp; Khan, M. A.</w:t>
            </w:r>
          </w:p>
        </w:tc>
        <w:tc>
          <w:tcPr>
            <w:tcW w:w="1770" w:type="dxa"/>
            <w:tcBorders>
              <w:left w:val="single" w:sz="6" w:space="0" w:color="000000"/>
            </w:tcBorders>
            <w:shd w:val="clear" w:color="auto" w:fill="FFFFFF"/>
            <w:tcMar>
              <w:top w:w="0" w:type="dxa"/>
              <w:left w:w="40" w:type="dxa"/>
              <w:bottom w:w="0" w:type="dxa"/>
              <w:right w:w="40" w:type="dxa"/>
            </w:tcMar>
          </w:tcPr>
          <w:p w14:paraId="096568D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and maternity at workplace, a qualitative study to know the employers’ perspective</w:t>
            </w:r>
          </w:p>
        </w:tc>
        <w:tc>
          <w:tcPr>
            <w:tcW w:w="1065" w:type="dxa"/>
            <w:shd w:val="clear" w:color="auto" w:fill="FFFFFF"/>
            <w:tcMar>
              <w:top w:w="0" w:type="dxa"/>
              <w:left w:w="40" w:type="dxa"/>
              <w:bottom w:w="0" w:type="dxa"/>
              <w:right w:w="40" w:type="dxa"/>
            </w:tcMar>
          </w:tcPr>
          <w:p w14:paraId="1274A94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 Evolution Med. Dent. Sci</w:t>
            </w:r>
          </w:p>
        </w:tc>
        <w:tc>
          <w:tcPr>
            <w:tcW w:w="1710" w:type="dxa"/>
            <w:tcMar>
              <w:top w:w="0" w:type="dxa"/>
              <w:left w:w="40" w:type="dxa"/>
              <w:bottom w:w="0" w:type="dxa"/>
              <w:right w:w="40" w:type="dxa"/>
            </w:tcMar>
          </w:tcPr>
          <w:p w14:paraId="208EA4B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1B52DD5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sample size was taken purposefully and 8 participants were interviewed.</w:t>
            </w:r>
          </w:p>
        </w:tc>
        <w:tc>
          <w:tcPr>
            <w:tcW w:w="4455" w:type="dxa"/>
            <w:shd w:val="clear" w:color="auto" w:fill="FFFFFF"/>
            <w:tcMar>
              <w:top w:w="0" w:type="dxa"/>
              <w:left w:w="40" w:type="dxa"/>
              <w:bottom w:w="0" w:type="dxa"/>
              <w:right w:w="40" w:type="dxa"/>
            </w:tcMar>
          </w:tcPr>
          <w:p w14:paraId="55026E6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Classical content analysis of interviews revealed that employers display unfavourable attitudes towards the employment of childbearing age group women in the first place and pregnancy at the workplace is not a welcoming event at all. All this negative attitude is due to the cost and HR issues raised by the absences and maternity leave of a pregnant worker. There is a great chaos regarding workload shared by the colleagues in pregnant women’s absence. For maternity leave, cost of hiring a new person and trai</w:t>
            </w:r>
            <w:r>
              <w:rPr>
                <w:rFonts w:ascii="Times New Roman" w:eastAsia="Times New Roman" w:hAnsi="Times New Roman" w:cs="Times New Roman"/>
                <w:sz w:val="18"/>
                <w:szCs w:val="18"/>
              </w:rPr>
              <w:t>ning are the issues raised by the employers especially in small organisations. There is a great need to give awareness to workers as well as management regarding laws and regulations about maternity at the workplace.</w:t>
            </w:r>
          </w:p>
        </w:tc>
        <w:tc>
          <w:tcPr>
            <w:tcW w:w="1290" w:type="dxa"/>
            <w:tcMar>
              <w:top w:w="0" w:type="dxa"/>
              <w:left w:w="40" w:type="dxa"/>
              <w:bottom w:w="0" w:type="dxa"/>
              <w:right w:w="40" w:type="dxa"/>
            </w:tcMar>
          </w:tcPr>
          <w:p w14:paraId="5951714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Semi-structured interviews</w:t>
            </w:r>
          </w:p>
        </w:tc>
        <w:tc>
          <w:tcPr>
            <w:tcW w:w="1005" w:type="dxa"/>
            <w:tcMar>
              <w:top w:w="0" w:type="dxa"/>
              <w:left w:w="40" w:type="dxa"/>
              <w:bottom w:w="0" w:type="dxa"/>
              <w:right w:w="40" w:type="dxa"/>
            </w:tcMar>
          </w:tcPr>
          <w:p w14:paraId="24739C2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Pakistan</w:t>
            </w:r>
          </w:p>
        </w:tc>
      </w:tr>
      <w:tr w:rsidR="00BC16EB" w14:paraId="130FC575" w14:textId="77777777">
        <w:trPr>
          <w:trHeight w:val="440"/>
        </w:trPr>
        <w:tc>
          <w:tcPr>
            <w:tcW w:w="525" w:type="dxa"/>
            <w:tcMar>
              <w:top w:w="100" w:type="dxa"/>
              <w:left w:w="100" w:type="dxa"/>
              <w:bottom w:w="100" w:type="dxa"/>
              <w:right w:w="100" w:type="dxa"/>
            </w:tcMar>
          </w:tcPr>
          <w:p w14:paraId="2720CA7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33</w:t>
            </w:r>
          </w:p>
        </w:tc>
        <w:tc>
          <w:tcPr>
            <w:tcW w:w="990" w:type="dxa"/>
          </w:tcPr>
          <w:p w14:paraId="3004D03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tcBorders>
              <w:top w:val="single" w:sz="6" w:space="0" w:color="000000"/>
            </w:tcBorders>
            <w:tcMar>
              <w:top w:w="0" w:type="dxa"/>
              <w:left w:w="40" w:type="dxa"/>
              <w:bottom w:w="0" w:type="dxa"/>
              <w:right w:w="40" w:type="dxa"/>
            </w:tcMar>
          </w:tcPr>
          <w:p w14:paraId="43B49E4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Chun, L. D., Ye, R., &amp; </w:t>
            </w:r>
            <w:r>
              <w:rPr>
                <w:rFonts w:ascii="Times New Roman" w:eastAsia="Times New Roman" w:hAnsi="Times New Roman" w:cs="Times New Roman"/>
                <w:sz w:val="18"/>
                <w:szCs w:val="18"/>
              </w:rPr>
              <w:lastRenderedPageBreak/>
              <w:t>Wilby, K. J</w:t>
            </w:r>
          </w:p>
        </w:tc>
        <w:tc>
          <w:tcPr>
            <w:tcW w:w="1770" w:type="dxa"/>
            <w:tcMar>
              <w:top w:w="0" w:type="dxa"/>
              <w:left w:w="40" w:type="dxa"/>
              <w:bottom w:w="0" w:type="dxa"/>
              <w:right w:w="40" w:type="dxa"/>
            </w:tcMar>
          </w:tcPr>
          <w:p w14:paraId="0329E56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Exploring discrimination towards </w:t>
            </w:r>
            <w:r>
              <w:rPr>
                <w:rFonts w:ascii="Times New Roman" w:eastAsia="Times New Roman" w:hAnsi="Times New Roman" w:cs="Times New Roman"/>
                <w:sz w:val="18"/>
                <w:szCs w:val="18"/>
              </w:rPr>
              <w:lastRenderedPageBreak/>
              <w:t>pharmacists in practice settings</w:t>
            </w:r>
          </w:p>
        </w:tc>
        <w:tc>
          <w:tcPr>
            <w:tcW w:w="1065" w:type="dxa"/>
            <w:tcMar>
              <w:top w:w="0" w:type="dxa"/>
              <w:left w:w="40" w:type="dxa"/>
              <w:bottom w:w="0" w:type="dxa"/>
              <w:right w:w="40" w:type="dxa"/>
            </w:tcMar>
          </w:tcPr>
          <w:p w14:paraId="7951D2A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Pharmacy Practice </w:t>
            </w:r>
          </w:p>
        </w:tc>
        <w:tc>
          <w:tcPr>
            <w:tcW w:w="1710" w:type="dxa"/>
            <w:tcMar>
              <w:top w:w="0" w:type="dxa"/>
              <w:left w:w="40" w:type="dxa"/>
              <w:bottom w:w="0" w:type="dxa"/>
              <w:right w:w="40" w:type="dxa"/>
            </w:tcMar>
          </w:tcPr>
          <w:p w14:paraId="530AC8F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5FCC0E4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43</w:t>
            </w:r>
          </w:p>
        </w:tc>
        <w:tc>
          <w:tcPr>
            <w:tcW w:w="4455" w:type="dxa"/>
            <w:tcMar>
              <w:top w:w="0" w:type="dxa"/>
              <w:left w:w="40" w:type="dxa"/>
              <w:bottom w:w="0" w:type="dxa"/>
              <w:right w:w="40" w:type="dxa"/>
            </w:tcMar>
          </w:tcPr>
          <w:p w14:paraId="324CD19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Classical content analysis of interviews revealed that employers display unfavourable attitudes towards the </w:t>
            </w:r>
            <w:r>
              <w:rPr>
                <w:rFonts w:ascii="Times New Roman" w:eastAsia="Times New Roman" w:hAnsi="Times New Roman" w:cs="Times New Roman"/>
                <w:sz w:val="18"/>
                <w:szCs w:val="18"/>
              </w:rPr>
              <w:lastRenderedPageBreak/>
              <w:t>employment of childbearing age group women in the first place and pregnancy at the workplace is not a welcoming event at all. All this negative attitude is due to the cost and HR issues raised by the absences and maternity leave of a pregnant worker. There is a great chaos regarding workload shared by the colleagues in pregnant women’s absence. For maternity leave, cost of hiring a new person and training are the issues raised by the employers especially in small organisations.</w:t>
            </w:r>
          </w:p>
        </w:tc>
        <w:tc>
          <w:tcPr>
            <w:tcW w:w="1290" w:type="dxa"/>
            <w:tcMar>
              <w:top w:w="0" w:type="dxa"/>
              <w:left w:w="40" w:type="dxa"/>
              <w:bottom w:w="0" w:type="dxa"/>
              <w:right w:w="40" w:type="dxa"/>
            </w:tcMar>
          </w:tcPr>
          <w:p w14:paraId="4811B49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Interviews</w:t>
            </w:r>
          </w:p>
        </w:tc>
        <w:tc>
          <w:tcPr>
            <w:tcW w:w="1005" w:type="dxa"/>
            <w:tcMar>
              <w:top w:w="0" w:type="dxa"/>
              <w:left w:w="40" w:type="dxa"/>
              <w:bottom w:w="0" w:type="dxa"/>
              <w:right w:w="40" w:type="dxa"/>
            </w:tcMar>
          </w:tcPr>
          <w:p w14:paraId="6A4924A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New Zealand</w:t>
            </w:r>
          </w:p>
        </w:tc>
      </w:tr>
      <w:tr w:rsidR="00BC16EB" w14:paraId="7134159F" w14:textId="77777777">
        <w:trPr>
          <w:trHeight w:val="440"/>
        </w:trPr>
        <w:tc>
          <w:tcPr>
            <w:tcW w:w="525" w:type="dxa"/>
            <w:tcMar>
              <w:top w:w="100" w:type="dxa"/>
              <w:left w:w="100" w:type="dxa"/>
              <w:bottom w:w="100" w:type="dxa"/>
              <w:right w:w="100" w:type="dxa"/>
            </w:tcMar>
          </w:tcPr>
          <w:p w14:paraId="5F16C21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990" w:type="dxa"/>
          </w:tcPr>
          <w:p w14:paraId="0721BD9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shd w:val="clear" w:color="auto" w:fill="FFFFFF"/>
            <w:tcMar>
              <w:top w:w="0" w:type="dxa"/>
              <w:left w:w="40" w:type="dxa"/>
              <w:bottom w:w="0" w:type="dxa"/>
              <w:right w:w="40" w:type="dxa"/>
            </w:tcMar>
          </w:tcPr>
          <w:p w14:paraId="3473D2C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Gabriel, A. S., Volpone, S. D., MacGowan, R. L., Butts, M. M., &amp; Moran, C. M.</w:t>
            </w:r>
          </w:p>
        </w:tc>
        <w:tc>
          <w:tcPr>
            <w:tcW w:w="1770" w:type="dxa"/>
            <w:shd w:val="clear" w:color="auto" w:fill="FFFFFF"/>
            <w:tcMar>
              <w:top w:w="0" w:type="dxa"/>
              <w:left w:w="40" w:type="dxa"/>
              <w:bottom w:w="0" w:type="dxa"/>
              <w:right w:w="40" w:type="dxa"/>
            </w:tcMar>
          </w:tcPr>
          <w:p w14:paraId="5A6AE71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When work and family blend together: Examining the daily experiences of breastfeeding mothers at work</w:t>
            </w:r>
          </w:p>
        </w:tc>
        <w:tc>
          <w:tcPr>
            <w:tcW w:w="1065" w:type="dxa"/>
            <w:shd w:val="clear" w:color="auto" w:fill="FFFFFF"/>
            <w:tcMar>
              <w:top w:w="0" w:type="dxa"/>
              <w:left w:w="40" w:type="dxa"/>
              <w:bottom w:w="0" w:type="dxa"/>
              <w:right w:w="40" w:type="dxa"/>
            </w:tcMar>
          </w:tcPr>
          <w:p w14:paraId="5230A81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Academy of Management Journal</w:t>
            </w:r>
          </w:p>
        </w:tc>
        <w:tc>
          <w:tcPr>
            <w:tcW w:w="1710" w:type="dxa"/>
            <w:tcMar>
              <w:top w:w="0" w:type="dxa"/>
              <w:left w:w="40" w:type="dxa"/>
              <w:bottom w:w="0" w:type="dxa"/>
              <w:right w:w="40" w:type="dxa"/>
            </w:tcMar>
          </w:tcPr>
          <w:p w14:paraId="2FAE27F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1: Qualitative</w:t>
            </w:r>
            <w:r>
              <w:rPr>
                <w:rFonts w:ascii="Times New Roman" w:eastAsia="Times New Roman" w:hAnsi="Times New Roman" w:cs="Times New Roman"/>
                <w:sz w:val="18"/>
                <w:szCs w:val="18"/>
              </w:rPr>
              <w:br/>
            </w:r>
            <w:r>
              <w:rPr>
                <w:rFonts w:ascii="Times New Roman" w:eastAsia="Times New Roman" w:hAnsi="Times New Roman" w:cs="Times New Roman"/>
                <w:sz w:val="18"/>
                <w:szCs w:val="18"/>
              </w:rPr>
              <w:t>Study 2: Cross-sectional Study</w:t>
            </w:r>
          </w:p>
        </w:tc>
        <w:tc>
          <w:tcPr>
            <w:tcW w:w="1110" w:type="dxa"/>
            <w:tcMar>
              <w:top w:w="0" w:type="dxa"/>
              <w:left w:w="40" w:type="dxa"/>
              <w:bottom w:w="0" w:type="dxa"/>
              <w:right w:w="40" w:type="dxa"/>
            </w:tcMar>
          </w:tcPr>
          <w:p w14:paraId="473F265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Study 1 = 38; N Study 2 = 106</w:t>
            </w:r>
          </w:p>
        </w:tc>
        <w:tc>
          <w:tcPr>
            <w:tcW w:w="4455" w:type="dxa"/>
            <w:shd w:val="clear" w:color="auto" w:fill="FFFFFF"/>
            <w:tcMar>
              <w:top w:w="0" w:type="dxa"/>
              <w:left w:w="40" w:type="dxa"/>
              <w:bottom w:w="0" w:type="dxa"/>
              <w:right w:w="40" w:type="dxa"/>
            </w:tcMar>
          </w:tcPr>
          <w:p w14:paraId="5CAF812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Results suggested that breastfeeding interference increased negative affect and decreased positive affect daily, with negative affect hindering breastfeeding goal progress (i.e., ounces of breast milk produced at work) and work goal progress. However, positive experiences tied to breastfeeding enrichment decreased negative affect and increased positive affect, with positive affect increasing work–family balance satisfaction. Beyond these relationships, we explored effects associated with contextual features</w:t>
            </w:r>
            <w:r>
              <w:rPr>
                <w:rFonts w:ascii="Times New Roman" w:eastAsia="Times New Roman" w:hAnsi="Times New Roman" w:cs="Times New Roman"/>
                <w:sz w:val="18"/>
                <w:szCs w:val="18"/>
              </w:rPr>
              <w:t xml:space="preserve"> of breastfeeding at work—breastfeeding stigma, breastfeeding compassion, and quality of the breastfeeding </w:t>
            </w:r>
            <w:r>
              <w:rPr>
                <w:rFonts w:ascii="Times New Roman" w:eastAsia="Times New Roman" w:hAnsi="Times New Roman" w:cs="Times New Roman"/>
                <w:sz w:val="18"/>
                <w:szCs w:val="18"/>
              </w:rPr>
              <w:lastRenderedPageBreak/>
              <w:t xml:space="preserve">space. Combined, our work enhances theoretical understanding of blended work–family experiences, highlighting that blending work and family roles daily can yield both positive and negative consequences across domains. </w:t>
            </w:r>
          </w:p>
        </w:tc>
        <w:tc>
          <w:tcPr>
            <w:tcW w:w="1290" w:type="dxa"/>
            <w:tcMar>
              <w:top w:w="0" w:type="dxa"/>
              <w:left w:w="40" w:type="dxa"/>
              <w:bottom w:w="0" w:type="dxa"/>
              <w:right w:w="40" w:type="dxa"/>
            </w:tcMar>
          </w:tcPr>
          <w:p w14:paraId="53FA4D9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Mixed methods;</w:t>
            </w:r>
          </w:p>
          <w:p w14:paraId="447FA24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Themes analysis</w:t>
            </w:r>
          </w:p>
        </w:tc>
        <w:tc>
          <w:tcPr>
            <w:tcW w:w="1005" w:type="dxa"/>
            <w:tcMar>
              <w:top w:w="0" w:type="dxa"/>
              <w:left w:w="40" w:type="dxa"/>
              <w:bottom w:w="0" w:type="dxa"/>
              <w:right w:w="40" w:type="dxa"/>
            </w:tcMar>
          </w:tcPr>
          <w:p w14:paraId="6F8234E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24F65960" w14:textId="77777777">
        <w:trPr>
          <w:trHeight w:val="440"/>
        </w:trPr>
        <w:tc>
          <w:tcPr>
            <w:tcW w:w="525" w:type="dxa"/>
            <w:tcMar>
              <w:top w:w="100" w:type="dxa"/>
              <w:left w:w="100" w:type="dxa"/>
              <w:bottom w:w="100" w:type="dxa"/>
              <w:right w:w="100" w:type="dxa"/>
            </w:tcMar>
          </w:tcPr>
          <w:p w14:paraId="762E6C45"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c>
          <w:tcPr>
            <w:tcW w:w="990" w:type="dxa"/>
          </w:tcPr>
          <w:p w14:paraId="6DFC887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tcMar>
              <w:top w:w="0" w:type="dxa"/>
              <w:left w:w="40" w:type="dxa"/>
              <w:bottom w:w="0" w:type="dxa"/>
              <w:right w:w="40" w:type="dxa"/>
            </w:tcMar>
          </w:tcPr>
          <w:p w14:paraId="0C0CA27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Mari, G., &amp; Luijkx, R.</w:t>
            </w:r>
          </w:p>
        </w:tc>
        <w:tc>
          <w:tcPr>
            <w:tcW w:w="1770" w:type="dxa"/>
            <w:tcMar>
              <w:top w:w="0" w:type="dxa"/>
              <w:left w:w="40" w:type="dxa"/>
              <w:bottom w:w="0" w:type="dxa"/>
              <w:right w:w="40" w:type="dxa"/>
            </w:tcMar>
          </w:tcPr>
          <w:p w14:paraId="5BC06EB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Gender, parenthood, and hiring intentions in sex-typical jobs: Insights from a survey experiment</w:t>
            </w:r>
          </w:p>
        </w:tc>
        <w:tc>
          <w:tcPr>
            <w:tcW w:w="1065" w:type="dxa"/>
            <w:tcMar>
              <w:top w:w="0" w:type="dxa"/>
              <w:left w:w="40" w:type="dxa"/>
              <w:bottom w:w="0" w:type="dxa"/>
              <w:right w:w="40" w:type="dxa"/>
            </w:tcMar>
          </w:tcPr>
          <w:p w14:paraId="0065308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Research in Social Stratification and Mobility</w:t>
            </w:r>
          </w:p>
        </w:tc>
        <w:tc>
          <w:tcPr>
            <w:tcW w:w="1710" w:type="dxa"/>
            <w:tcMar>
              <w:top w:w="0" w:type="dxa"/>
              <w:left w:w="40" w:type="dxa"/>
              <w:bottom w:w="0" w:type="dxa"/>
              <w:right w:w="40" w:type="dxa"/>
            </w:tcMar>
          </w:tcPr>
          <w:p w14:paraId="4502E1F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Quasi experimental Study</w:t>
            </w:r>
          </w:p>
        </w:tc>
        <w:tc>
          <w:tcPr>
            <w:tcW w:w="1110" w:type="dxa"/>
            <w:tcMar>
              <w:top w:w="0" w:type="dxa"/>
              <w:left w:w="40" w:type="dxa"/>
              <w:bottom w:w="0" w:type="dxa"/>
              <w:right w:w="40" w:type="dxa"/>
            </w:tcMar>
          </w:tcPr>
          <w:p w14:paraId="1AA47CE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239 participants – (and 478 observations);</w:t>
            </w:r>
          </w:p>
          <w:p w14:paraId="33598C6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237 participants (and 474 observations)</w:t>
            </w:r>
          </w:p>
        </w:tc>
        <w:tc>
          <w:tcPr>
            <w:tcW w:w="4455" w:type="dxa"/>
            <w:tcMar>
              <w:top w:w="0" w:type="dxa"/>
              <w:left w:w="40" w:type="dxa"/>
              <w:bottom w:w="0" w:type="dxa"/>
              <w:right w:w="40" w:type="dxa"/>
            </w:tcMar>
          </w:tcPr>
          <w:p w14:paraId="0D6C325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findings suggest that mothers may face discrimination compared to fathers and childless individuals, particularly in male-dominated fields. This discrimination is attributed to stereotypes regarding parental responsibilities and workplace commitment. The study emphasises the need for awareness and interventions to combat gender biases in hiring practices, promoting equity in the labour market.</w:t>
            </w:r>
          </w:p>
        </w:tc>
        <w:tc>
          <w:tcPr>
            <w:tcW w:w="1290" w:type="dxa"/>
            <w:tcMar>
              <w:top w:w="0" w:type="dxa"/>
              <w:left w:w="40" w:type="dxa"/>
              <w:bottom w:w="0" w:type="dxa"/>
              <w:right w:w="40" w:type="dxa"/>
            </w:tcMar>
          </w:tcPr>
          <w:p w14:paraId="0AD5300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w:t>
            </w:r>
          </w:p>
        </w:tc>
        <w:tc>
          <w:tcPr>
            <w:tcW w:w="1005" w:type="dxa"/>
            <w:tcMar>
              <w:top w:w="0" w:type="dxa"/>
              <w:left w:w="40" w:type="dxa"/>
              <w:bottom w:w="0" w:type="dxa"/>
              <w:right w:w="40" w:type="dxa"/>
            </w:tcMar>
          </w:tcPr>
          <w:p w14:paraId="2F9FEA9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Netherlands</w:t>
            </w:r>
          </w:p>
        </w:tc>
      </w:tr>
      <w:tr w:rsidR="00BC16EB" w14:paraId="737FADB1" w14:textId="77777777">
        <w:trPr>
          <w:trHeight w:val="440"/>
        </w:trPr>
        <w:tc>
          <w:tcPr>
            <w:tcW w:w="525" w:type="dxa"/>
            <w:tcMar>
              <w:top w:w="100" w:type="dxa"/>
              <w:left w:w="100" w:type="dxa"/>
              <w:bottom w:w="100" w:type="dxa"/>
              <w:right w:w="100" w:type="dxa"/>
            </w:tcMar>
          </w:tcPr>
          <w:p w14:paraId="19CF8128"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36</w:t>
            </w:r>
          </w:p>
        </w:tc>
        <w:tc>
          <w:tcPr>
            <w:tcW w:w="990" w:type="dxa"/>
            <w:tcMar>
              <w:top w:w="0" w:type="dxa"/>
              <w:left w:w="40" w:type="dxa"/>
              <w:bottom w:w="0" w:type="dxa"/>
              <w:right w:w="40" w:type="dxa"/>
            </w:tcMar>
          </w:tcPr>
          <w:p w14:paraId="489AA7B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shd w:val="clear" w:color="auto" w:fill="FFFFFF"/>
            <w:tcMar>
              <w:top w:w="0" w:type="dxa"/>
              <w:left w:w="40" w:type="dxa"/>
              <w:bottom w:w="0" w:type="dxa"/>
              <w:right w:w="40" w:type="dxa"/>
            </w:tcMar>
          </w:tcPr>
          <w:p w14:paraId="7021A6B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Todd, A. R., Cawthorn, T. R., &amp; Temple-Oberle, C.</w:t>
            </w:r>
          </w:p>
        </w:tc>
        <w:tc>
          <w:tcPr>
            <w:tcW w:w="1770" w:type="dxa"/>
            <w:tcMar>
              <w:top w:w="0" w:type="dxa"/>
              <w:left w:w="40" w:type="dxa"/>
              <w:bottom w:w="0" w:type="dxa"/>
              <w:right w:w="40" w:type="dxa"/>
            </w:tcMar>
          </w:tcPr>
          <w:p w14:paraId="5605CF5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and parenthood remain challenging during surgical residency: a systematic review</w:t>
            </w:r>
          </w:p>
        </w:tc>
        <w:tc>
          <w:tcPr>
            <w:tcW w:w="1065" w:type="dxa"/>
            <w:shd w:val="clear" w:color="auto" w:fill="FFFFFF"/>
            <w:tcMar>
              <w:top w:w="0" w:type="dxa"/>
              <w:left w:w="40" w:type="dxa"/>
              <w:bottom w:w="0" w:type="dxa"/>
              <w:right w:w="40" w:type="dxa"/>
            </w:tcMar>
          </w:tcPr>
          <w:p w14:paraId="37F0F9A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Academic Medicine</w:t>
            </w:r>
          </w:p>
        </w:tc>
        <w:tc>
          <w:tcPr>
            <w:tcW w:w="1710" w:type="dxa"/>
            <w:tcMar>
              <w:top w:w="0" w:type="dxa"/>
              <w:left w:w="40" w:type="dxa"/>
              <w:bottom w:w="0" w:type="dxa"/>
              <w:right w:w="40" w:type="dxa"/>
            </w:tcMar>
          </w:tcPr>
          <w:p w14:paraId="32A55CF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Systematic Review</w:t>
            </w:r>
          </w:p>
        </w:tc>
        <w:tc>
          <w:tcPr>
            <w:tcW w:w="1110" w:type="dxa"/>
            <w:tcMar>
              <w:top w:w="0" w:type="dxa"/>
              <w:left w:w="40" w:type="dxa"/>
              <w:bottom w:w="0" w:type="dxa"/>
              <w:right w:w="40" w:type="dxa"/>
            </w:tcMar>
          </w:tcPr>
          <w:p w14:paraId="0CEC7AE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27 titles</w:t>
            </w:r>
          </w:p>
        </w:tc>
        <w:tc>
          <w:tcPr>
            <w:tcW w:w="4455" w:type="dxa"/>
            <w:shd w:val="clear" w:color="auto" w:fill="FFFFFF"/>
            <w:tcMar>
              <w:top w:w="0" w:type="dxa"/>
              <w:left w:w="40" w:type="dxa"/>
              <w:bottom w:w="0" w:type="dxa"/>
              <w:right w:w="40" w:type="dxa"/>
            </w:tcMar>
          </w:tcPr>
          <w:p w14:paraId="6732A29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Of 523 titles and abstracts screened, 27 were included. Overall, female surgical residents had fewer children during residency training than their male counterparts (18%–28% vs 32%–54%). As compared with the general population, surgical residents had their first child later in life (30–34 vs 25 years old), and had fewer children overall (0.6–2.1 vs 2.7). Infertility rates were higher among female surgeons </w:t>
            </w:r>
            <w:r>
              <w:rPr>
                <w:rFonts w:ascii="Times New Roman" w:eastAsia="Times New Roman" w:hAnsi="Times New Roman" w:cs="Times New Roman"/>
                <w:sz w:val="18"/>
                <w:szCs w:val="18"/>
              </w:rPr>
              <w:lastRenderedPageBreak/>
              <w:t>than in the general population (30%–32% vs 11%), as were assisted reproductive technology rates (8%–13% vs 1.7%). Pregnant surgical residents experienced a high rate of obstetrical complications; working more than 6 overnight calls shifts per month or 60 hours per week were predictors of increased complication rates. The authors noted no differences in attrition, caseload, or exam pass rates amongst female surgical residents who had become pregnant as compared with other residents. Despite these similar aca</w:t>
            </w:r>
            <w:r>
              <w:rPr>
                <w:rFonts w:ascii="Times New Roman" w:eastAsia="Times New Roman" w:hAnsi="Times New Roman" w:cs="Times New Roman"/>
                <w:sz w:val="18"/>
                <w:szCs w:val="18"/>
              </w:rPr>
              <w:t>demic outcomes, negative attitudes and perceptions toward pregnancy during residency were consistently identified.</w:t>
            </w:r>
          </w:p>
        </w:tc>
        <w:tc>
          <w:tcPr>
            <w:tcW w:w="1290" w:type="dxa"/>
            <w:tcMar>
              <w:top w:w="0" w:type="dxa"/>
              <w:left w:w="40" w:type="dxa"/>
              <w:bottom w:w="0" w:type="dxa"/>
              <w:right w:w="40" w:type="dxa"/>
            </w:tcMar>
          </w:tcPr>
          <w:p w14:paraId="1C95469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Thematic analysis</w:t>
            </w:r>
          </w:p>
        </w:tc>
        <w:tc>
          <w:tcPr>
            <w:tcW w:w="1005" w:type="dxa"/>
            <w:tcMar>
              <w:top w:w="0" w:type="dxa"/>
              <w:left w:w="40" w:type="dxa"/>
              <w:bottom w:w="0" w:type="dxa"/>
              <w:right w:w="40" w:type="dxa"/>
            </w:tcMar>
          </w:tcPr>
          <w:p w14:paraId="25C0E0E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Canada</w:t>
            </w:r>
          </w:p>
        </w:tc>
      </w:tr>
      <w:tr w:rsidR="00BC16EB" w14:paraId="74A5F073" w14:textId="77777777">
        <w:trPr>
          <w:trHeight w:val="440"/>
        </w:trPr>
        <w:tc>
          <w:tcPr>
            <w:tcW w:w="525" w:type="dxa"/>
            <w:tcMar>
              <w:top w:w="100" w:type="dxa"/>
              <w:left w:w="100" w:type="dxa"/>
              <w:bottom w:w="100" w:type="dxa"/>
              <w:right w:w="100" w:type="dxa"/>
            </w:tcMar>
          </w:tcPr>
          <w:p w14:paraId="0437419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37</w:t>
            </w:r>
          </w:p>
        </w:tc>
        <w:tc>
          <w:tcPr>
            <w:tcW w:w="990" w:type="dxa"/>
          </w:tcPr>
          <w:p w14:paraId="56DCBD23"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tcBorders>
              <w:bottom w:val="single" w:sz="6" w:space="0" w:color="000000"/>
            </w:tcBorders>
            <w:tcMar>
              <w:top w:w="0" w:type="dxa"/>
              <w:left w:w="40" w:type="dxa"/>
              <w:bottom w:w="0" w:type="dxa"/>
              <w:right w:w="40" w:type="dxa"/>
            </w:tcMar>
          </w:tcPr>
          <w:p w14:paraId="6D50BBC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Wayne, A. S., Mueller, M. K., &amp; Rosenbaum, M.</w:t>
            </w:r>
          </w:p>
        </w:tc>
        <w:tc>
          <w:tcPr>
            <w:tcW w:w="1770" w:type="dxa"/>
            <w:tcBorders>
              <w:bottom w:val="single" w:sz="6" w:space="0" w:color="000000"/>
            </w:tcBorders>
            <w:tcMar>
              <w:top w:w="0" w:type="dxa"/>
              <w:left w:w="40" w:type="dxa"/>
              <w:bottom w:w="0" w:type="dxa"/>
              <w:right w:w="40" w:type="dxa"/>
            </w:tcMar>
          </w:tcPr>
          <w:p w14:paraId="4D40E03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Perceptions of maternal discrimination and pregnancy/postpartum experiences among veterinary mothers</w:t>
            </w:r>
          </w:p>
        </w:tc>
        <w:tc>
          <w:tcPr>
            <w:tcW w:w="1065" w:type="dxa"/>
            <w:tcBorders>
              <w:bottom w:val="single" w:sz="6" w:space="0" w:color="000000"/>
            </w:tcBorders>
            <w:tcMar>
              <w:top w:w="0" w:type="dxa"/>
              <w:left w:w="40" w:type="dxa"/>
              <w:bottom w:w="0" w:type="dxa"/>
              <w:right w:w="40" w:type="dxa"/>
            </w:tcMar>
          </w:tcPr>
          <w:p w14:paraId="4CE681D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Frontiers in Veterinary Science</w:t>
            </w:r>
          </w:p>
        </w:tc>
        <w:tc>
          <w:tcPr>
            <w:tcW w:w="1710" w:type="dxa"/>
            <w:tcBorders>
              <w:bottom w:val="single" w:sz="6" w:space="0" w:color="000000"/>
            </w:tcBorders>
            <w:tcMar>
              <w:top w:w="0" w:type="dxa"/>
              <w:left w:w="40" w:type="dxa"/>
              <w:bottom w:w="0" w:type="dxa"/>
              <w:right w:w="40" w:type="dxa"/>
            </w:tcMar>
          </w:tcPr>
          <w:p w14:paraId="4210B3A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bottom w:val="single" w:sz="6" w:space="0" w:color="000000"/>
            </w:tcBorders>
            <w:tcMar>
              <w:top w:w="0" w:type="dxa"/>
              <w:left w:w="40" w:type="dxa"/>
              <w:bottom w:w="0" w:type="dxa"/>
              <w:right w:w="40" w:type="dxa"/>
            </w:tcMar>
          </w:tcPr>
          <w:p w14:paraId="15C8181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1,082</w:t>
            </w:r>
          </w:p>
        </w:tc>
        <w:tc>
          <w:tcPr>
            <w:tcW w:w="4455" w:type="dxa"/>
            <w:tcBorders>
              <w:bottom w:val="single" w:sz="6" w:space="0" w:color="000000"/>
            </w:tcBorders>
            <w:tcMar>
              <w:top w:w="0" w:type="dxa"/>
              <w:left w:w="40" w:type="dxa"/>
              <w:bottom w:w="0" w:type="dxa"/>
              <w:right w:w="40" w:type="dxa"/>
            </w:tcMar>
          </w:tcPr>
          <w:p w14:paraId="38519DE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Participants reported experiences of perceived maternal discrimination, as well as inequities and lack of support services due to status as a mother. These results highlight the need for attention and changes to ensure veterinarians have supportive and sustainable career options.</w:t>
            </w:r>
          </w:p>
        </w:tc>
        <w:tc>
          <w:tcPr>
            <w:tcW w:w="1290" w:type="dxa"/>
            <w:tcMar>
              <w:top w:w="0" w:type="dxa"/>
              <w:left w:w="40" w:type="dxa"/>
              <w:bottom w:w="0" w:type="dxa"/>
              <w:right w:w="40" w:type="dxa"/>
            </w:tcMar>
          </w:tcPr>
          <w:p w14:paraId="2E225A9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open comments in an online questionnaire</w:t>
            </w:r>
          </w:p>
        </w:tc>
        <w:tc>
          <w:tcPr>
            <w:tcW w:w="1005" w:type="dxa"/>
            <w:tcBorders>
              <w:bottom w:val="single" w:sz="6" w:space="0" w:color="000000"/>
            </w:tcBorders>
            <w:tcMar>
              <w:top w:w="0" w:type="dxa"/>
              <w:left w:w="40" w:type="dxa"/>
              <w:bottom w:w="0" w:type="dxa"/>
              <w:right w:w="40" w:type="dxa"/>
            </w:tcMar>
          </w:tcPr>
          <w:p w14:paraId="76FA1FE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340C4366" w14:textId="77777777">
        <w:trPr>
          <w:trHeight w:val="440"/>
        </w:trPr>
        <w:tc>
          <w:tcPr>
            <w:tcW w:w="525" w:type="dxa"/>
            <w:tcMar>
              <w:top w:w="100" w:type="dxa"/>
              <w:left w:w="100" w:type="dxa"/>
              <w:bottom w:w="100" w:type="dxa"/>
              <w:right w:w="100" w:type="dxa"/>
            </w:tcMar>
          </w:tcPr>
          <w:p w14:paraId="1D065368"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38</w:t>
            </w:r>
          </w:p>
        </w:tc>
        <w:tc>
          <w:tcPr>
            <w:tcW w:w="990" w:type="dxa"/>
            <w:tcBorders>
              <w:left w:val="single" w:sz="6" w:space="0" w:color="000000"/>
            </w:tcBorders>
            <w:tcMar>
              <w:top w:w="0" w:type="dxa"/>
              <w:left w:w="40" w:type="dxa"/>
              <w:bottom w:w="0" w:type="dxa"/>
              <w:right w:w="40" w:type="dxa"/>
            </w:tcMar>
          </w:tcPr>
          <w:p w14:paraId="16BA785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Mar>
              <w:top w:w="0" w:type="dxa"/>
              <w:left w:w="40" w:type="dxa"/>
              <w:bottom w:w="0" w:type="dxa"/>
              <w:right w:w="40" w:type="dxa"/>
            </w:tcMar>
          </w:tcPr>
          <w:p w14:paraId="0AA7D7A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highlight w:val="white"/>
              </w:rPr>
              <w:t xml:space="preserve">Chesak, S. S., Yngve, K. C., </w:t>
            </w:r>
            <w:r>
              <w:rPr>
                <w:rFonts w:ascii="Times New Roman" w:eastAsia="Times New Roman" w:hAnsi="Times New Roman" w:cs="Times New Roman"/>
                <w:color w:val="222222"/>
                <w:sz w:val="18"/>
                <w:szCs w:val="18"/>
                <w:highlight w:val="white"/>
              </w:rPr>
              <w:lastRenderedPageBreak/>
              <w:t xml:space="preserve">Taylor, J. M., Voth, E. R., &amp; Bhagra, A. </w:t>
            </w:r>
          </w:p>
        </w:tc>
        <w:tc>
          <w:tcPr>
            <w:tcW w:w="1770" w:type="dxa"/>
            <w:tcMar>
              <w:top w:w="0" w:type="dxa"/>
              <w:left w:w="40" w:type="dxa"/>
              <w:bottom w:w="0" w:type="dxa"/>
              <w:right w:w="40" w:type="dxa"/>
            </w:tcMar>
          </w:tcPr>
          <w:p w14:paraId="640A16E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Challenges and solutions for physician </w:t>
            </w:r>
            <w:r>
              <w:rPr>
                <w:rFonts w:ascii="Times New Roman" w:eastAsia="Times New Roman" w:hAnsi="Times New Roman" w:cs="Times New Roman"/>
                <w:sz w:val="18"/>
                <w:szCs w:val="18"/>
              </w:rPr>
              <w:lastRenderedPageBreak/>
              <w:t>mothers: a critical review of the literature</w:t>
            </w:r>
          </w:p>
        </w:tc>
        <w:tc>
          <w:tcPr>
            <w:tcW w:w="1065" w:type="dxa"/>
            <w:tcMar>
              <w:top w:w="0" w:type="dxa"/>
              <w:left w:w="40" w:type="dxa"/>
              <w:bottom w:w="0" w:type="dxa"/>
              <w:right w:w="40" w:type="dxa"/>
            </w:tcMar>
          </w:tcPr>
          <w:p w14:paraId="721CD2C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In Mayo Clinic </w:t>
            </w:r>
            <w:r>
              <w:rPr>
                <w:rFonts w:ascii="Times New Roman" w:eastAsia="Times New Roman" w:hAnsi="Times New Roman" w:cs="Times New Roman"/>
                <w:sz w:val="18"/>
                <w:szCs w:val="18"/>
              </w:rPr>
              <w:lastRenderedPageBreak/>
              <w:t>Proceedings (Vol. 96, No. 6, pp. 1578-1591). Elsevier.</w:t>
            </w:r>
          </w:p>
        </w:tc>
        <w:tc>
          <w:tcPr>
            <w:tcW w:w="1710" w:type="dxa"/>
            <w:tcMar>
              <w:top w:w="0" w:type="dxa"/>
              <w:left w:w="40" w:type="dxa"/>
              <w:bottom w:w="0" w:type="dxa"/>
              <w:right w:w="40" w:type="dxa"/>
            </w:tcMar>
          </w:tcPr>
          <w:p w14:paraId="56CF5E6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Systematic Review</w:t>
            </w:r>
          </w:p>
        </w:tc>
        <w:tc>
          <w:tcPr>
            <w:tcW w:w="1110" w:type="dxa"/>
            <w:tcMar>
              <w:top w:w="0" w:type="dxa"/>
              <w:left w:w="40" w:type="dxa"/>
              <w:bottom w:w="0" w:type="dxa"/>
              <w:right w:w="40" w:type="dxa"/>
            </w:tcMar>
          </w:tcPr>
          <w:p w14:paraId="6C66941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71 articles</w:t>
            </w:r>
          </w:p>
        </w:tc>
        <w:tc>
          <w:tcPr>
            <w:tcW w:w="4455" w:type="dxa"/>
            <w:tcMar>
              <w:top w:w="0" w:type="dxa"/>
              <w:left w:w="40" w:type="dxa"/>
              <w:bottom w:w="0" w:type="dxa"/>
              <w:right w:w="40" w:type="dxa"/>
            </w:tcMar>
          </w:tcPr>
          <w:p w14:paraId="364B8F3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Themes for challenges were categorised by level of influence (individual, organisational and health care system, </w:t>
            </w:r>
            <w:r>
              <w:rPr>
                <w:rFonts w:ascii="Times New Roman" w:eastAsia="Times New Roman" w:hAnsi="Times New Roman" w:cs="Times New Roman"/>
                <w:sz w:val="18"/>
                <w:szCs w:val="18"/>
              </w:rPr>
              <w:lastRenderedPageBreak/>
              <w:t>and societal); themes for solutions were categorised by approach and intervention (mentorship, childbearing and childrearing support, addressing barriers to career satisfaction and work-life integration, and identification and reduction of maternal bias in medicine). Physician mothers face challenges that have negative implications for individuals, organisations and the health care system, and society. Clear understanding of associated challenges and potential solutions is a critical first step to address b</w:t>
            </w:r>
            <w:r>
              <w:rPr>
                <w:rFonts w:ascii="Times New Roman" w:eastAsia="Times New Roman" w:hAnsi="Times New Roman" w:cs="Times New Roman"/>
                <w:sz w:val="18"/>
                <w:szCs w:val="18"/>
              </w:rPr>
              <w:t xml:space="preserve">iases and barriers affecting physician mothers. </w:t>
            </w:r>
          </w:p>
        </w:tc>
        <w:tc>
          <w:tcPr>
            <w:tcW w:w="1290" w:type="dxa"/>
            <w:tcMar>
              <w:top w:w="0" w:type="dxa"/>
              <w:left w:w="40" w:type="dxa"/>
              <w:bottom w:w="0" w:type="dxa"/>
              <w:right w:w="40" w:type="dxa"/>
            </w:tcMar>
          </w:tcPr>
          <w:p w14:paraId="0BC31E8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Critical Review of the Literature</w:t>
            </w:r>
          </w:p>
        </w:tc>
        <w:tc>
          <w:tcPr>
            <w:tcW w:w="1005" w:type="dxa"/>
            <w:tcMar>
              <w:top w:w="0" w:type="dxa"/>
              <w:left w:w="40" w:type="dxa"/>
              <w:bottom w:w="0" w:type="dxa"/>
              <w:right w:w="40" w:type="dxa"/>
            </w:tcMar>
          </w:tcPr>
          <w:p w14:paraId="5778100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0AF962F4" w14:textId="77777777">
        <w:trPr>
          <w:trHeight w:val="440"/>
        </w:trPr>
        <w:tc>
          <w:tcPr>
            <w:tcW w:w="525" w:type="dxa"/>
            <w:tcMar>
              <w:top w:w="100" w:type="dxa"/>
              <w:left w:w="100" w:type="dxa"/>
              <w:bottom w:w="100" w:type="dxa"/>
              <w:right w:w="100" w:type="dxa"/>
            </w:tcMar>
          </w:tcPr>
          <w:p w14:paraId="55826BE2"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39</w:t>
            </w:r>
          </w:p>
        </w:tc>
        <w:tc>
          <w:tcPr>
            <w:tcW w:w="990" w:type="dxa"/>
            <w:tcBorders>
              <w:left w:val="single" w:sz="6" w:space="0" w:color="000000"/>
            </w:tcBorders>
            <w:tcMar>
              <w:top w:w="0" w:type="dxa"/>
              <w:left w:w="40" w:type="dxa"/>
              <w:bottom w:w="0" w:type="dxa"/>
              <w:right w:w="40" w:type="dxa"/>
            </w:tcMar>
          </w:tcPr>
          <w:p w14:paraId="0771900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Mar>
              <w:top w:w="0" w:type="dxa"/>
              <w:left w:w="40" w:type="dxa"/>
              <w:bottom w:w="0" w:type="dxa"/>
              <w:right w:w="40" w:type="dxa"/>
            </w:tcMar>
          </w:tcPr>
          <w:p w14:paraId="2AAFF91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Hackney K. J., Daniels S. R., Paustian-Underdahl S. C., Perrewé P. L., Mandeville A., Eaton A. A.</w:t>
            </w:r>
          </w:p>
        </w:tc>
        <w:tc>
          <w:tcPr>
            <w:tcW w:w="1770" w:type="dxa"/>
            <w:tcMar>
              <w:top w:w="0" w:type="dxa"/>
              <w:left w:w="40" w:type="dxa"/>
              <w:bottom w:w="0" w:type="dxa"/>
              <w:right w:w="40" w:type="dxa"/>
            </w:tcMar>
          </w:tcPr>
          <w:p w14:paraId="3BF4EF2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Examining the Effects of Perceived Pregnancy Discrimination on Mother and Baby Health</w:t>
            </w:r>
          </w:p>
        </w:tc>
        <w:tc>
          <w:tcPr>
            <w:tcW w:w="1065" w:type="dxa"/>
            <w:tcMar>
              <w:top w:w="0" w:type="dxa"/>
              <w:left w:w="40" w:type="dxa"/>
              <w:bottom w:w="0" w:type="dxa"/>
              <w:right w:w="40" w:type="dxa"/>
            </w:tcMar>
          </w:tcPr>
          <w:p w14:paraId="3E87A3A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Applied Psychology</w:t>
            </w:r>
          </w:p>
        </w:tc>
        <w:tc>
          <w:tcPr>
            <w:tcW w:w="1710" w:type="dxa"/>
            <w:tcMar>
              <w:top w:w="0" w:type="dxa"/>
              <w:left w:w="40" w:type="dxa"/>
              <w:bottom w:w="0" w:type="dxa"/>
              <w:right w:w="40" w:type="dxa"/>
            </w:tcMar>
          </w:tcPr>
          <w:p w14:paraId="749E1A8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 Sectional Study</w:t>
            </w:r>
          </w:p>
        </w:tc>
        <w:tc>
          <w:tcPr>
            <w:tcW w:w="1110" w:type="dxa"/>
            <w:tcMar>
              <w:top w:w="0" w:type="dxa"/>
              <w:left w:w="40" w:type="dxa"/>
              <w:bottom w:w="0" w:type="dxa"/>
              <w:right w:w="40" w:type="dxa"/>
            </w:tcMar>
          </w:tcPr>
          <w:p w14:paraId="706BA2B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study 1 =  53 participants; </w:t>
            </w:r>
          </w:p>
          <w:p w14:paraId="6C4E87B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study 2 = 199 participants. </w:t>
            </w:r>
          </w:p>
        </w:tc>
        <w:tc>
          <w:tcPr>
            <w:tcW w:w="4455" w:type="dxa"/>
            <w:tcMar>
              <w:top w:w="0" w:type="dxa"/>
              <w:left w:w="40" w:type="dxa"/>
              <w:bottom w:w="0" w:type="dxa"/>
              <w:right w:w="40" w:type="dxa"/>
            </w:tcMar>
          </w:tcPr>
          <w:p w14:paraId="1BB9891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 our first study, we examine the effects of perceived pregnancy discrimination on mothers’ postpartum depressive symptoms via perceived stress. In our second study, we replicate and extend our first study and examine the effects of perceived pregnancy discrimination on mothers’ postpartum depressive symptoms and babies’ gestational age, Apgar scores, birth weight, and number of doctors’ visits, through the mechanism of perceived stress. We find that perceived pregnancy discrimination indirectly relates to</w:t>
            </w:r>
            <w:r>
              <w:rPr>
                <w:rFonts w:ascii="Times New Roman" w:eastAsia="Times New Roman" w:hAnsi="Times New Roman" w:cs="Times New Roman"/>
                <w:sz w:val="18"/>
                <w:szCs w:val="18"/>
              </w:rPr>
              <w:t xml:space="preserve"> increased levels of postpartum depressive </w:t>
            </w:r>
            <w:r>
              <w:rPr>
                <w:rFonts w:ascii="Times New Roman" w:eastAsia="Times New Roman" w:hAnsi="Times New Roman" w:cs="Times New Roman"/>
                <w:sz w:val="18"/>
                <w:szCs w:val="18"/>
              </w:rPr>
              <w:lastRenderedPageBreak/>
              <w:t xml:space="preserve">symptoms for the mothers, and lower birth weights, lower gestational ages, and increased number of doctors’ visits for the babies, via perceived stress of the mothers during pregnancy. Implications for theory and practice, limitations, and future research are discussed.We found that perceived pregnancy discrimination was positively associated with perceived stress which is positively associated with postpartum depressive symptoms. We found that women who perceived </w:t>
            </w:r>
            <w:r>
              <w:rPr>
                <w:rFonts w:ascii="Times New Roman" w:eastAsia="Times New Roman" w:hAnsi="Times New Roman" w:cs="Times New Roman"/>
                <w:sz w:val="18"/>
                <w:szCs w:val="18"/>
              </w:rPr>
              <w:t xml:space="preserve">pregnancy discrimination at work were more likely to suffer from postpartum depressive symptoms. </w:t>
            </w:r>
          </w:p>
        </w:tc>
        <w:tc>
          <w:tcPr>
            <w:tcW w:w="1290" w:type="dxa"/>
            <w:tcMar>
              <w:top w:w="0" w:type="dxa"/>
              <w:left w:w="40" w:type="dxa"/>
              <w:bottom w:w="0" w:type="dxa"/>
              <w:right w:w="40" w:type="dxa"/>
            </w:tcMar>
          </w:tcPr>
          <w:p w14:paraId="37CC285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Inventory adapted to focus on pregnancy discrimination</w:t>
            </w:r>
          </w:p>
        </w:tc>
        <w:tc>
          <w:tcPr>
            <w:tcW w:w="1005" w:type="dxa"/>
            <w:tcMar>
              <w:top w:w="0" w:type="dxa"/>
              <w:left w:w="40" w:type="dxa"/>
              <w:bottom w:w="0" w:type="dxa"/>
              <w:right w:w="40" w:type="dxa"/>
            </w:tcMar>
          </w:tcPr>
          <w:p w14:paraId="2E338EC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6C02693A" w14:textId="77777777">
        <w:trPr>
          <w:trHeight w:val="440"/>
        </w:trPr>
        <w:tc>
          <w:tcPr>
            <w:tcW w:w="525" w:type="dxa"/>
            <w:tcMar>
              <w:top w:w="100" w:type="dxa"/>
              <w:left w:w="100" w:type="dxa"/>
              <w:bottom w:w="100" w:type="dxa"/>
              <w:right w:w="100" w:type="dxa"/>
            </w:tcMar>
          </w:tcPr>
          <w:p w14:paraId="1C55EB62"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990" w:type="dxa"/>
            <w:tcBorders>
              <w:left w:val="single" w:sz="6" w:space="0" w:color="000000"/>
              <w:bottom w:val="single" w:sz="6" w:space="0" w:color="000000"/>
              <w:right w:val="single" w:sz="6" w:space="0" w:color="000000"/>
            </w:tcBorders>
            <w:tcMar>
              <w:top w:w="0" w:type="dxa"/>
              <w:left w:w="40" w:type="dxa"/>
              <w:bottom w:w="0" w:type="dxa"/>
              <w:right w:w="40" w:type="dxa"/>
            </w:tcMar>
          </w:tcPr>
          <w:p w14:paraId="2733BFA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left w:val="single" w:sz="6" w:space="0" w:color="000000"/>
            </w:tcBorders>
            <w:tcMar>
              <w:top w:w="0" w:type="dxa"/>
              <w:left w:w="40" w:type="dxa"/>
              <w:bottom w:w="0" w:type="dxa"/>
              <w:right w:w="40" w:type="dxa"/>
            </w:tcMar>
          </w:tcPr>
          <w:p w14:paraId="074D4F1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Holton, M. R., &amp; Bailey, K.</w:t>
            </w:r>
          </w:p>
        </w:tc>
        <w:tc>
          <w:tcPr>
            <w:tcW w:w="1770" w:type="dxa"/>
            <w:tcMar>
              <w:top w:w="0" w:type="dxa"/>
              <w:left w:w="40" w:type="dxa"/>
              <w:bottom w:w="0" w:type="dxa"/>
              <w:right w:w="40" w:type="dxa"/>
            </w:tcMar>
          </w:tcPr>
          <w:p w14:paraId="3BDF761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Women in urology</w:t>
            </w:r>
          </w:p>
        </w:tc>
        <w:tc>
          <w:tcPr>
            <w:tcW w:w="1065" w:type="dxa"/>
            <w:tcMar>
              <w:top w:w="0" w:type="dxa"/>
              <w:left w:w="40" w:type="dxa"/>
              <w:bottom w:w="0" w:type="dxa"/>
              <w:right w:w="40" w:type="dxa"/>
            </w:tcMar>
          </w:tcPr>
          <w:p w14:paraId="06C19F8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Urol Clin North Am</w:t>
            </w:r>
          </w:p>
        </w:tc>
        <w:tc>
          <w:tcPr>
            <w:tcW w:w="1710" w:type="dxa"/>
            <w:tcMar>
              <w:top w:w="0" w:type="dxa"/>
              <w:left w:w="40" w:type="dxa"/>
              <w:bottom w:w="0" w:type="dxa"/>
              <w:right w:w="40" w:type="dxa"/>
            </w:tcMar>
          </w:tcPr>
          <w:p w14:paraId="4D10E13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1B9CF48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Unspecified</w:t>
            </w:r>
          </w:p>
        </w:tc>
        <w:tc>
          <w:tcPr>
            <w:tcW w:w="4455" w:type="dxa"/>
            <w:tcMar>
              <w:top w:w="0" w:type="dxa"/>
              <w:left w:w="40" w:type="dxa"/>
              <w:bottom w:w="0" w:type="dxa"/>
              <w:right w:w="40" w:type="dxa"/>
            </w:tcMar>
          </w:tcPr>
          <w:p w14:paraId="6F5D374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demographic trend of GU training presages a significant increase in the slope of the shift toward female representation in GU clinical practice in the next decade.There are significant differentials within clinical practice between men and women, including selection of subspecialization, practice milieu, and practice geography. Women in GU continue to experience discrimination and harassment and also have unique challenges, including assumptions about gender roles, accommodations for pregnancy and breas</w:t>
            </w:r>
            <w:r>
              <w:rPr>
                <w:rFonts w:ascii="Times New Roman" w:eastAsia="Times New Roman" w:hAnsi="Times New Roman" w:cs="Times New Roman"/>
                <w:sz w:val="18"/>
                <w:szCs w:val="18"/>
              </w:rPr>
              <w:t xml:space="preserve">tfeeding, along with pay disparities. GU </w:t>
            </w:r>
            <w:r>
              <w:rPr>
                <w:rFonts w:ascii="Times New Roman" w:eastAsia="Times New Roman" w:hAnsi="Times New Roman" w:cs="Times New Roman"/>
                <w:sz w:val="18"/>
                <w:szCs w:val="18"/>
              </w:rPr>
              <w:lastRenderedPageBreak/>
              <w:t>has extant provider workforce shortages, which will likely worsen, particularly in rural areas, based on current patterns of female postgraduate training and selection of clinical practice environment. In order for the field of GU to evolve and adapt to the demographic trends, the differences in training and practice experiences between men and women should continue to be identified and addressed.</w:t>
            </w:r>
          </w:p>
        </w:tc>
        <w:tc>
          <w:tcPr>
            <w:tcW w:w="1290" w:type="dxa"/>
            <w:tcMar>
              <w:top w:w="0" w:type="dxa"/>
              <w:left w:w="40" w:type="dxa"/>
              <w:bottom w:w="0" w:type="dxa"/>
              <w:right w:w="40" w:type="dxa"/>
            </w:tcMar>
          </w:tcPr>
          <w:p w14:paraId="661DA78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Thematic analysis</w:t>
            </w:r>
          </w:p>
        </w:tc>
        <w:tc>
          <w:tcPr>
            <w:tcW w:w="1005" w:type="dxa"/>
            <w:tcMar>
              <w:top w:w="0" w:type="dxa"/>
              <w:left w:w="40" w:type="dxa"/>
              <w:bottom w:w="0" w:type="dxa"/>
              <w:right w:w="40" w:type="dxa"/>
            </w:tcMar>
          </w:tcPr>
          <w:p w14:paraId="1AAFF97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5970FC44" w14:textId="77777777">
        <w:trPr>
          <w:trHeight w:val="440"/>
        </w:trPr>
        <w:tc>
          <w:tcPr>
            <w:tcW w:w="525" w:type="dxa"/>
            <w:tcMar>
              <w:top w:w="100" w:type="dxa"/>
              <w:left w:w="100" w:type="dxa"/>
              <w:bottom w:w="100" w:type="dxa"/>
              <w:right w:w="100" w:type="dxa"/>
            </w:tcMar>
          </w:tcPr>
          <w:p w14:paraId="338BC0D8"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41</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371F22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left w:val="single" w:sz="6" w:space="0" w:color="000000"/>
            </w:tcBorders>
            <w:tcMar>
              <w:top w:w="0" w:type="dxa"/>
              <w:left w:w="40" w:type="dxa"/>
              <w:bottom w:w="0" w:type="dxa"/>
              <w:right w:w="40" w:type="dxa"/>
            </w:tcMar>
          </w:tcPr>
          <w:p w14:paraId="15640AF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Ishizuka, P.</w:t>
            </w:r>
          </w:p>
        </w:tc>
        <w:tc>
          <w:tcPr>
            <w:tcW w:w="1770" w:type="dxa"/>
            <w:tcMar>
              <w:top w:w="0" w:type="dxa"/>
              <w:left w:w="40" w:type="dxa"/>
              <w:bottom w:w="0" w:type="dxa"/>
              <w:right w:w="40" w:type="dxa"/>
            </w:tcMar>
          </w:tcPr>
          <w:p w14:paraId="3A05EAD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motherhood penalty in context: Assessing discrimination in a polarized labor market</w:t>
            </w:r>
          </w:p>
        </w:tc>
        <w:tc>
          <w:tcPr>
            <w:tcW w:w="1065" w:type="dxa"/>
            <w:shd w:val="clear" w:color="auto" w:fill="FFFFFF"/>
            <w:tcMar>
              <w:top w:w="0" w:type="dxa"/>
              <w:left w:w="40" w:type="dxa"/>
              <w:bottom w:w="0" w:type="dxa"/>
              <w:right w:w="40" w:type="dxa"/>
            </w:tcMar>
          </w:tcPr>
          <w:p w14:paraId="10101C8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Demography</w:t>
            </w:r>
          </w:p>
        </w:tc>
        <w:tc>
          <w:tcPr>
            <w:tcW w:w="1710" w:type="dxa"/>
            <w:tcMar>
              <w:top w:w="0" w:type="dxa"/>
              <w:left w:w="40" w:type="dxa"/>
              <w:bottom w:w="0" w:type="dxa"/>
              <w:right w:w="40" w:type="dxa"/>
            </w:tcMar>
          </w:tcPr>
          <w:p w14:paraId="5522D3E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Quasi experimental Study</w:t>
            </w:r>
          </w:p>
        </w:tc>
        <w:tc>
          <w:tcPr>
            <w:tcW w:w="1110" w:type="dxa"/>
            <w:tcMar>
              <w:top w:w="0" w:type="dxa"/>
              <w:left w:w="40" w:type="dxa"/>
              <w:bottom w:w="0" w:type="dxa"/>
              <w:right w:w="40" w:type="dxa"/>
            </w:tcMar>
          </w:tcPr>
          <w:p w14:paraId="34296BD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2,210</w:t>
            </w:r>
          </w:p>
        </w:tc>
        <w:tc>
          <w:tcPr>
            <w:tcW w:w="4455" w:type="dxa"/>
            <w:tcMar>
              <w:top w:w="0" w:type="dxa"/>
              <w:left w:w="40" w:type="dxa"/>
              <w:bottom w:w="0" w:type="dxa"/>
              <w:right w:w="40" w:type="dxa"/>
            </w:tcMar>
          </w:tcPr>
          <w:p w14:paraId="3419EB4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This study reports results from an original field experiment in which 2,210 fictitious applications were submitted to low-wage service and professional/managerial job openings across six U.S. cities, experimentally manipulating signals of motherhood status. Findings provide causal evidence that employers in both contexts discriminate against mothers relative to equally qualified childless women. However, within labor market segments, distinct job demands listed in job advertisements are associated with stro</w:t>
            </w:r>
            <w:r>
              <w:rPr>
                <w:rFonts w:ascii="Times New Roman" w:eastAsia="Times New Roman" w:hAnsi="Times New Roman" w:cs="Times New Roman"/>
                <w:sz w:val="18"/>
                <w:szCs w:val="18"/>
              </w:rPr>
              <w:t xml:space="preserve">nger discrimination: time pressure, collaboration, and travel in professional/managerial jobs and schedule instability in low-wage service jobs. These findings have important implications for our understanding of the mechanisms </w:t>
            </w:r>
            <w:r>
              <w:rPr>
                <w:rFonts w:ascii="Times New Roman" w:eastAsia="Times New Roman" w:hAnsi="Times New Roman" w:cs="Times New Roman"/>
                <w:sz w:val="18"/>
                <w:szCs w:val="18"/>
              </w:rPr>
              <w:lastRenderedPageBreak/>
              <w:t>underlying mothers’ disadvantages in an increasingly polarized labor market.</w:t>
            </w:r>
          </w:p>
        </w:tc>
        <w:tc>
          <w:tcPr>
            <w:tcW w:w="1290" w:type="dxa"/>
            <w:tcMar>
              <w:top w:w="0" w:type="dxa"/>
              <w:left w:w="40" w:type="dxa"/>
              <w:bottom w:w="0" w:type="dxa"/>
              <w:right w:w="40" w:type="dxa"/>
            </w:tcMar>
          </w:tcPr>
          <w:p w14:paraId="6164893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Audit study; Outcome Measure -employer Callbacks; paired tests of differences - run logistic regression models</w:t>
            </w:r>
          </w:p>
        </w:tc>
        <w:tc>
          <w:tcPr>
            <w:tcW w:w="1005" w:type="dxa"/>
            <w:tcMar>
              <w:top w:w="0" w:type="dxa"/>
              <w:left w:w="40" w:type="dxa"/>
              <w:bottom w:w="0" w:type="dxa"/>
              <w:right w:w="40" w:type="dxa"/>
            </w:tcMar>
          </w:tcPr>
          <w:p w14:paraId="68EFFAA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2676ABA4" w14:textId="77777777">
        <w:trPr>
          <w:trHeight w:val="440"/>
        </w:trPr>
        <w:tc>
          <w:tcPr>
            <w:tcW w:w="525" w:type="dxa"/>
            <w:tcMar>
              <w:top w:w="100" w:type="dxa"/>
              <w:left w:w="100" w:type="dxa"/>
              <w:bottom w:w="100" w:type="dxa"/>
              <w:right w:w="100" w:type="dxa"/>
            </w:tcMar>
          </w:tcPr>
          <w:p w14:paraId="5E8A9DB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42</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6D217C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left w:val="single" w:sz="6" w:space="0" w:color="000000"/>
            </w:tcBorders>
            <w:tcMar>
              <w:top w:w="0" w:type="dxa"/>
              <w:left w:w="40" w:type="dxa"/>
              <w:bottom w:w="0" w:type="dxa"/>
              <w:right w:w="40" w:type="dxa"/>
            </w:tcMar>
          </w:tcPr>
          <w:p w14:paraId="44E6148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Kraus, M. B., Thomson, H. M., Dexter, F., Patel, P. V., Dodd, S. E., Girardo, M. E., Hertzberg, L. B., Pearson, A. C. S.</w:t>
            </w:r>
          </w:p>
        </w:tc>
        <w:tc>
          <w:tcPr>
            <w:tcW w:w="1770" w:type="dxa"/>
            <w:tcMar>
              <w:top w:w="0" w:type="dxa"/>
              <w:left w:w="40" w:type="dxa"/>
              <w:bottom w:w="0" w:type="dxa"/>
              <w:right w:w="40" w:type="dxa"/>
            </w:tcMar>
          </w:tcPr>
          <w:p w14:paraId="49ADD7C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and motherhood for trainees in anesthesiology: a survey of the American Society of Anesthesiologists</w:t>
            </w:r>
          </w:p>
        </w:tc>
        <w:tc>
          <w:tcPr>
            <w:tcW w:w="1065" w:type="dxa"/>
            <w:tcMar>
              <w:top w:w="0" w:type="dxa"/>
              <w:left w:w="40" w:type="dxa"/>
              <w:bottom w:w="0" w:type="dxa"/>
              <w:right w:w="40" w:type="dxa"/>
            </w:tcMar>
          </w:tcPr>
          <w:p w14:paraId="2D3BE69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Journal of Education in Perioperative Medicine: JEPM</w:t>
            </w:r>
          </w:p>
        </w:tc>
        <w:tc>
          <w:tcPr>
            <w:tcW w:w="1710" w:type="dxa"/>
            <w:tcMar>
              <w:top w:w="0" w:type="dxa"/>
              <w:left w:w="40" w:type="dxa"/>
              <w:bottom w:w="0" w:type="dxa"/>
              <w:right w:w="40" w:type="dxa"/>
            </w:tcMar>
          </w:tcPr>
          <w:p w14:paraId="6E0A7EB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Mar>
              <w:top w:w="0" w:type="dxa"/>
              <w:left w:w="40" w:type="dxa"/>
              <w:bottom w:w="0" w:type="dxa"/>
              <w:right w:w="40" w:type="dxa"/>
            </w:tcMar>
          </w:tcPr>
          <w:p w14:paraId="23ABBAA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542</w:t>
            </w:r>
          </w:p>
        </w:tc>
        <w:tc>
          <w:tcPr>
            <w:tcW w:w="4455" w:type="dxa"/>
            <w:tcMar>
              <w:top w:w="0" w:type="dxa"/>
              <w:left w:w="40" w:type="dxa"/>
              <w:bottom w:w="0" w:type="dxa"/>
              <w:right w:w="40" w:type="dxa"/>
            </w:tcMar>
          </w:tcPr>
          <w:p w14:paraId="0E24448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Women anesthesiology trainees commonly face obstacles when attempting to balance work and motherhood. Recent policy changes have addressed some of the challenges identified in our study. Future studies will need to evaluate how these changes have impacted anesthesiology trainees. </w:t>
            </w:r>
          </w:p>
        </w:tc>
        <w:tc>
          <w:tcPr>
            <w:tcW w:w="1290" w:type="dxa"/>
            <w:tcMar>
              <w:top w:w="0" w:type="dxa"/>
              <w:left w:w="40" w:type="dxa"/>
              <w:bottom w:w="0" w:type="dxa"/>
              <w:right w:w="40" w:type="dxa"/>
            </w:tcMar>
          </w:tcPr>
          <w:p w14:paraId="2064C64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w:t>
            </w:r>
          </w:p>
        </w:tc>
        <w:tc>
          <w:tcPr>
            <w:tcW w:w="1005" w:type="dxa"/>
            <w:tcMar>
              <w:top w:w="0" w:type="dxa"/>
              <w:left w:w="40" w:type="dxa"/>
              <w:bottom w:w="0" w:type="dxa"/>
              <w:right w:w="40" w:type="dxa"/>
            </w:tcMar>
          </w:tcPr>
          <w:p w14:paraId="5518761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086F11EB" w14:textId="77777777">
        <w:trPr>
          <w:trHeight w:val="440"/>
        </w:trPr>
        <w:tc>
          <w:tcPr>
            <w:tcW w:w="525" w:type="dxa"/>
            <w:tcMar>
              <w:top w:w="100" w:type="dxa"/>
              <w:left w:w="100" w:type="dxa"/>
              <w:bottom w:w="100" w:type="dxa"/>
              <w:right w:w="100" w:type="dxa"/>
            </w:tcMar>
          </w:tcPr>
          <w:p w14:paraId="31A38C45"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43</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A48F6C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left w:val="single" w:sz="6" w:space="0" w:color="000000"/>
            </w:tcBorders>
            <w:tcMar>
              <w:top w:w="0" w:type="dxa"/>
              <w:left w:w="40" w:type="dxa"/>
              <w:bottom w:w="0" w:type="dxa"/>
              <w:right w:w="40" w:type="dxa"/>
            </w:tcMar>
          </w:tcPr>
          <w:p w14:paraId="0C30F81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Wada, A., Nakamura, Y., Tsuno, Y. S., Nagasaka, K., Kawajiri, M., Takeishi, Y., Mikako, Y. &amp; </w:t>
            </w:r>
            <w:r>
              <w:rPr>
                <w:rFonts w:ascii="Times New Roman" w:eastAsia="Times New Roman" w:hAnsi="Times New Roman" w:cs="Times New Roman"/>
                <w:sz w:val="18"/>
                <w:szCs w:val="18"/>
              </w:rPr>
              <w:lastRenderedPageBreak/>
              <w:t>Yoshizawa, T.</w:t>
            </w:r>
          </w:p>
        </w:tc>
        <w:tc>
          <w:tcPr>
            <w:tcW w:w="1770" w:type="dxa"/>
            <w:shd w:val="clear" w:color="auto" w:fill="FFFFFF"/>
            <w:tcMar>
              <w:top w:w="0" w:type="dxa"/>
              <w:left w:w="40" w:type="dxa"/>
              <w:bottom w:w="0" w:type="dxa"/>
              <w:right w:w="40" w:type="dxa"/>
            </w:tcMar>
          </w:tcPr>
          <w:p w14:paraId="4DAAF14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Factors associated with the work productivity of Japanese working pregnant women: A cross-sectional study</w:t>
            </w:r>
          </w:p>
        </w:tc>
        <w:tc>
          <w:tcPr>
            <w:tcW w:w="1065" w:type="dxa"/>
            <w:shd w:val="clear" w:color="auto" w:fill="FFFFFF"/>
            <w:tcMar>
              <w:top w:w="0" w:type="dxa"/>
              <w:left w:w="40" w:type="dxa"/>
              <w:bottom w:w="0" w:type="dxa"/>
              <w:right w:w="40" w:type="dxa"/>
            </w:tcMar>
          </w:tcPr>
          <w:p w14:paraId="31F7505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Occupational and Environmental Medicine</w:t>
            </w:r>
          </w:p>
        </w:tc>
        <w:tc>
          <w:tcPr>
            <w:tcW w:w="1710" w:type="dxa"/>
            <w:tcMar>
              <w:top w:w="0" w:type="dxa"/>
              <w:left w:w="40" w:type="dxa"/>
              <w:bottom w:w="0" w:type="dxa"/>
              <w:right w:w="40" w:type="dxa"/>
            </w:tcMar>
          </w:tcPr>
          <w:p w14:paraId="77D1023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Mar>
              <w:top w:w="0" w:type="dxa"/>
              <w:left w:w="40" w:type="dxa"/>
              <w:bottom w:w="0" w:type="dxa"/>
              <w:right w:w="40" w:type="dxa"/>
            </w:tcMar>
          </w:tcPr>
          <w:p w14:paraId="28502E6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450</w:t>
            </w:r>
          </w:p>
        </w:tc>
        <w:tc>
          <w:tcPr>
            <w:tcW w:w="4455" w:type="dxa"/>
            <w:shd w:val="clear" w:color="auto" w:fill="FFFFFF"/>
            <w:tcMar>
              <w:top w:w="0" w:type="dxa"/>
              <w:left w:w="40" w:type="dxa"/>
              <w:bottom w:w="0" w:type="dxa"/>
              <w:right w:w="40" w:type="dxa"/>
            </w:tcMar>
          </w:tcPr>
          <w:p w14:paraId="27105D6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This study found that occupational stress, physical conditions (such as pregnancy complications and gestational period), and adjustment status in the workplace due to pregnancy (such as pregnancy disclosure and pregnancy discrimination) are related to presenteeism. On the other hand, pregnancy complications were the only factor associated with absenteeism. Therefore, it is suggested that pregnant women should be supported at the stage of </w:t>
            </w:r>
            <w:r>
              <w:rPr>
                <w:rFonts w:ascii="Times New Roman" w:eastAsia="Times New Roman" w:hAnsi="Times New Roman" w:cs="Times New Roman"/>
                <w:sz w:val="18"/>
                <w:szCs w:val="18"/>
              </w:rPr>
              <w:lastRenderedPageBreak/>
              <w:t>presenteeism by providing support with interpersonal relationships in the workplace as well as with their physical conditions.</w:t>
            </w:r>
          </w:p>
        </w:tc>
        <w:tc>
          <w:tcPr>
            <w:tcW w:w="1290" w:type="dxa"/>
            <w:tcMar>
              <w:top w:w="0" w:type="dxa"/>
              <w:left w:w="40" w:type="dxa"/>
              <w:bottom w:w="0" w:type="dxa"/>
              <w:right w:w="40" w:type="dxa"/>
            </w:tcMar>
          </w:tcPr>
          <w:p w14:paraId="39DC6FF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Questionnaire </w:t>
            </w:r>
          </w:p>
        </w:tc>
        <w:tc>
          <w:tcPr>
            <w:tcW w:w="1005" w:type="dxa"/>
            <w:tcMar>
              <w:top w:w="0" w:type="dxa"/>
              <w:left w:w="40" w:type="dxa"/>
              <w:bottom w:w="0" w:type="dxa"/>
              <w:right w:w="40" w:type="dxa"/>
            </w:tcMar>
          </w:tcPr>
          <w:p w14:paraId="58C13DD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Japan</w:t>
            </w:r>
          </w:p>
        </w:tc>
      </w:tr>
      <w:tr w:rsidR="00BC16EB" w14:paraId="18828C88" w14:textId="77777777">
        <w:trPr>
          <w:trHeight w:val="440"/>
        </w:trPr>
        <w:tc>
          <w:tcPr>
            <w:tcW w:w="525" w:type="dxa"/>
            <w:tcMar>
              <w:top w:w="100" w:type="dxa"/>
              <w:left w:w="100" w:type="dxa"/>
              <w:bottom w:w="100" w:type="dxa"/>
              <w:right w:w="100" w:type="dxa"/>
            </w:tcMar>
          </w:tcPr>
          <w:p w14:paraId="280F148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44</w:t>
            </w:r>
          </w:p>
        </w:tc>
        <w:tc>
          <w:tcPr>
            <w:tcW w:w="990" w:type="dxa"/>
            <w:tcBorders>
              <w:left w:val="single" w:sz="6" w:space="0" w:color="000000"/>
              <w:bottom w:val="single" w:sz="6" w:space="0" w:color="000000"/>
            </w:tcBorders>
            <w:tcMar>
              <w:top w:w="0" w:type="dxa"/>
              <w:left w:w="40" w:type="dxa"/>
              <w:bottom w:w="0" w:type="dxa"/>
              <w:right w:w="40" w:type="dxa"/>
            </w:tcMar>
          </w:tcPr>
          <w:p w14:paraId="6594373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bottom w:val="single" w:sz="6" w:space="0" w:color="000000"/>
            </w:tcBorders>
            <w:tcMar>
              <w:top w:w="0" w:type="dxa"/>
              <w:left w:w="40" w:type="dxa"/>
              <w:bottom w:w="0" w:type="dxa"/>
              <w:right w:w="40" w:type="dxa"/>
            </w:tcMar>
          </w:tcPr>
          <w:p w14:paraId="02164811"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Casilla-Lennon, M., Hanchuk, S., Zheng, S., Kim, D. D., Press, B., Nguyen, J. V., Grimshaw, A.</w:t>
            </w:r>
          </w:p>
          <w:p w14:paraId="2BD771E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Leapman, M.S., &amp; Cavallo, J. A.</w:t>
            </w:r>
          </w:p>
        </w:tc>
        <w:tc>
          <w:tcPr>
            <w:tcW w:w="1770" w:type="dxa"/>
            <w:tcBorders>
              <w:bottom w:val="single" w:sz="6" w:space="0" w:color="000000"/>
            </w:tcBorders>
            <w:tcMar>
              <w:top w:w="0" w:type="dxa"/>
              <w:left w:w="40" w:type="dxa"/>
              <w:bottom w:w="0" w:type="dxa"/>
              <w:right w:w="40" w:type="dxa"/>
            </w:tcMar>
          </w:tcPr>
          <w:p w14:paraId="033A11A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in physicians: a scoping review</w:t>
            </w:r>
          </w:p>
        </w:tc>
        <w:tc>
          <w:tcPr>
            <w:tcW w:w="1065" w:type="dxa"/>
            <w:tcBorders>
              <w:bottom w:val="single" w:sz="6" w:space="0" w:color="000000"/>
            </w:tcBorders>
            <w:tcMar>
              <w:top w:w="0" w:type="dxa"/>
              <w:left w:w="40" w:type="dxa"/>
              <w:bottom w:w="0" w:type="dxa"/>
              <w:right w:w="40" w:type="dxa"/>
            </w:tcMar>
          </w:tcPr>
          <w:p w14:paraId="65C2FC0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American Journal of Surgery</w:t>
            </w:r>
          </w:p>
        </w:tc>
        <w:tc>
          <w:tcPr>
            <w:tcW w:w="1710" w:type="dxa"/>
            <w:tcBorders>
              <w:bottom w:val="single" w:sz="6" w:space="0" w:color="000000"/>
            </w:tcBorders>
            <w:tcMar>
              <w:top w:w="0" w:type="dxa"/>
              <w:left w:w="40" w:type="dxa"/>
              <w:bottom w:w="0" w:type="dxa"/>
              <w:right w:w="40" w:type="dxa"/>
            </w:tcMar>
          </w:tcPr>
          <w:p w14:paraId="044B1DF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Systematic Review</w:t>
            </w:r>
          </w:p>
        </w:tc>
        <w:tc>
          <w:tcPr>
            <w:tcW w:w="1110" w:type="dxa"/>
            <w:tcBorders>
              <w:bottom w:val="single" w:sz="6" w:space="0" w:color="000000"/>
            </w:tcBorders>
            <w:tcMar>
              <w:top w:w="0" w:type="dxa"/>
              <w:left w:w="40" w:type="dxa"/>
              <w:bottom w:w="0" w:type="dxa"/>
              <w:right w:w="40" w:type="dxa"/>
            </w:tcMar>
          </w:tcPr>
          <w:p w14:paraId="50C8740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407 manuscripts</w:t>
            </w:r>
          </w:p>
        </w:tc>
        <w:tc>
          <w:tcPr>
            <w:tcW w:w="4455" w:type="dxa"/>
            <w:tcBorders>
              <w:bottom w:val="single" w:sz="6" w:space="0" w:color="000000"/>
            </w:tcBorders>
            <w:tcMar>
              <w:top w:w="0" w:type="dxa"/>
              <w:left w:w="40" w:type="dxa"/>
              <w:bottom w:w="0" w:type="dxa"/>
              <w:right w:w="40" w:type="dxa"/>
            </w:tcMar>
          </w:tcPr>
          <w:p w14:paraId="3518035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4 major themes emerged: impact of pregnancy on the physician and her colleagues, work productivity, maternity leave policies and maternal-fetal health outcomes. Despite advances, significant room for improvement remains. Maternity leave remains variable and substandard. Paid leave is of particular importance as many trainees have significant debt and lower salaries. Balancing family and medical career responsibilities contributes to attrition from full-time employment. Pregnant physicians are exposed to occ</w:t>
            </w:r>
            <w:r>
              <w:rPr>
                <w:rFonts w:ascii="Times New Roman" w:eastAsia="Times New Roman" w:hAnsi="Times New Roman" w:cs="Times New Roman"/>
                <w:sz w:val="18"/>
                <w:szCs w:val="18"/>
                <w:highlight w:val="white"/>
              </w:rPr>
              <w:t xml:space="preserve">upational hazards and may have higher rates of obstetric and fetal complications compared to the general population; however, definitive conclusions cannot be drawn due to the poor quality of data. Multi-institutional prospective age-matched and risk-adjusted observational studies should be pursued. </w:t>
            </w:r>
          </w:p>
        </w:tc>
        <w:tc>
          <w:tcPr>
            <w:tcW w:w="1290" w:type="dxa"/>
            <w:tcMar>
              <w:top w:w="0" w:type="dxa"/>
              <w:left w:w="40" w:type="dxa"/>
              <w:bottom w:w="0" w:type="dxa"/>
              <w:right w:w="40" w:type="dxa"/>
            </w:tcMar>
          </w:tcPr>
          <w:p w14:paraId="7544EF6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Systematic review</w:t>
            </w:r>
          </w:p>
        </w:tc>
        <w:tc>
          <w:tcPr>
            <w:tcW w:w="1005" w:type="dxa"/>
            <w:tcBorders>
              <w:bottom w:val="single" w:sz="6" w:space="0" w:color="000000"/>
            </w:tcBorders>
            <w:tcMar>
              <w:top w:w="0" w:type="dxa"/>
              <w:left w:w="40" w:type="dxa"/>
              <w:bottom w:w="0" w:type="dxa"/>
              <w:right w:w="40" w:type="dxa"/>
            </w:tcMar>
          </w:tcPr>
          <w:p w14:paraId="70A22C1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0171B782" w14:textId="77777777">
        <w:trPr>
          <w:trHeight w:val="440"/>
        </w:trPr>
        <w:tc>
          <w:tcPr>
            <w:tcW w:w="525" w:type="dxa"/>
            <w:tcMar>
              <w:top w:w="100" w:type="dxa"/>
              <w:left w:w="100" w:type="dxa"/>
              <w:bottom w:w="100" w:type="dxa"/>
              <w:right w:w="100" w:type="dxa"/>
            </w:tcMar>
          </w:tcPr>
          <w:p w14:paraId="635601F7"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990" w:type="dxa"/>
            <w:tcBorders>
              <w:top w:val="single" w:sz="6" w:space="0" w:color="000000"/>
            </w:tcBorders>
            <w:tcMar>
              <w:top w:w="0" w:type="dxa"/>
              <w:left w:w="40" w:type="dxa"/>
              <w:bottom w:w="0" w:type="dxa"/>
              <w:right w:w="40" w:type="dxa"/>
            </w:tcMar>
          </w:tcPr>
          <w:p w14:paraId="7596424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tcBorders>
            <w:tcMar>
              <w:top w:w="0" w:type="dxa"/>
              <w:left w:w="40" w:type="dxa"/>
              <w:bottom w:w="0" w:type="dxa"/>
              <w:right w:w="40" w:type="dxa"/>
            </w:tcMar>
          </w:tcPr>
          <w:p w14:paraId="2079D76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Champaloux, E. P., Acosta, </w:t>
            </w:r>
            <w:r>
              <w:rPr>
                <w:rFonts w:ascii="Times New Roman" w:eastAsia="Times New Roman" w:hAnsi="Times New Roman" w:cs="Times New Roman"/>
                <w:sz w:val="18"/>
                <w:szCs w:val="18"/>
              </w:rPr>
              <w:lastRenderedPageBreak/>
              <w:t xml:space="preserve">A. S., Gray, S. T. et al. </w:t>
            </w:r>
          </w:p>
        </w:tc>
        <w:tc>
          <w:tcPr>
            <w:tcW w:w="1770" w:type="dxa"/>
            <w:tcBorders>
              <w:top w:val="single" w:sz="6" w:space="0" w:color="000000"/>
            </w:tcBorders>
            <w:tcMar>
              <w:top w:w="0" w:type="dxa"/>
              <w:left w:w="40" w:type="dxa"/>
              <w:bottom w:w="0" w:type="dxa"/>
              <w:right w:w="40" w:type="dxa"/>
            </w:tcMar>
          </w:tcPr>
          <w:p w14:paraId="7D48EE5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Otolaryngology residents' experiences </w:t>
            </w:r>
            <w:r>
              <w:rPr>
                <w:rFonts w:ascii="Times New Roman" w:eastAsia="Times New Roman" w:hAnsi="Times New Roman" w:cs="Times New Roman"/>
                <w:sz w:val="18"/>
                <w:szCs w:val="18"/>
              </w:rPr>
              <w:lastRenderedPageBreak/>
              <w:t>of pregnancy and return to work: A multisite qualitative study</w:t>
            </w:r>
          </w:p>
        </w:tc>
        <w:tc>
          <w:tcPr>
            <w:tcW w:w="1065" w:type="dxa"/>
            <w:tcBorders>
              <w:top w:val="single" w:sz="6" w:space="0" w:color="000000"/>
            </w:tcBorders>
            <w:tcMar>
              <w:top w:w="0" w:type="dxa"/>
              <w:left w:w="40" w:type="dxa"/>
              <w:bottom w:w="0" w:type="dxa"/>
              <w:right w:w="40" w:type="dxa"/>
            </w:tcMar>
          </w:tcPr>
          <w:p w14:paraId="71EB953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Laryngoscope </w:t>
            </w:r>
            <w:r>
              <w:rPr>
                <w:rFonts w:ascii="Times New Roman" w:eastAsia="Times New Roman" w:hAnsi="Times New Roman" w:cs="Times New Roman"/>
                <w:sz w:val="18"/>
                <w:szCs w:val="18"/>
              </w:rPr>
              <w:lastRenderedPageBreak/>
              <w:t>Investigative Otolaryngology</w:t>
            </w:r>
          </w:p>
        </w:tc>
        <w:tc>
          <w:tcPr>
            <w:tcW w:w="1710" w:type="dxa"/>
            <w:tcMar>
              <w:top w:w="0" w:type="dxa"/>
              <w:left w:w="40" w:type="dxa"/>
              <w:bottom w:w="0" w:type="dxa"/>
              <w:right w:w="40" w:type="dxa"/>
            </w:tcMar>
          </w:tcPr>
          <w:p w14:paraId="75C7EEC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220A1D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16</w:t>
            </w:r>
          </w:p>
        </w:tc>
        <w:tc>
          <w:tcPr>
            <w:tcW w:w="4455" w:type="dxa"/>
            <w:tcBorders>
              <w:top w:val="single" w:sz="6" w:space="0" w:color="000000"/>
            </w:tcBorders>
            <w:tcMar>
              <w:top w:w="0" w:type="dxa"/>
              <w:left w:w="40" w:type="dxa"/>
              <w:bottom w:w="0" w:type="dxa"/>
              <w:right w:w="40" w:type="dxa"/>
            </w:tcMar>
          </w:tcPr>
          <w:p w14:paraId="08EC67BB" w14:textId="77777777" w:rsidR="00BC16EB" w:rsidRDefault="005714A1">
            <w:pPr>
              <w:widowControl w:val="0"/>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color w:val="0E0E0E"/>
                <w:sz w:val="18"/>
                <w:szCs w:val="18"/>
              </w:rPr>
              <w:t xml:space="preserve">Despite significant anxiety about training and personal challenges, many otolaryngology residents had healthy </w:t>
            </w:r>
            <w:r>
              <w:rPr>
                <w:rFonts w:ascii="Times New Roman" w:eastAsia="Times New Roman" w:hAnsi="Times New Roman" w:cs="Times New Roman"/>
                <w:color w:val="0E0E0E"/>
                <w:sz w:val="18"/>
                <w:szCs w:val="18"/>
              </w:rPr>
              <w:lastRenderedPageBreak/>
              <w:t>pregnancies and postpartum recoveries with minimal disruptions to clinical productivity. Themes identified included increased pregnancy complications, stigma from leadership, logistical issues with scheduling calls and parental leave, and challenges returning to work while managing breastfeeding and childcare. Sixteen women from 14 programs were interviewed, and results were categorized into themes on program culture, pregnancy, parental leave, and return to work. Addressing these challenges can make mother</w:t>
            </w:r>
            <w:r>
              <w:rPr>
                <w:rFonts w:ascii="Times New Roman" w:eastAsia="Times New Roman" w:hAnsi="Times New Roman" w:cs="Times New Roman"/>
                <w:color w:val="0E0E0E"/>
                <w:sz w:val="18"/>
                <w:szCs w:val="18"/>
              </w:rPr>
              <w:t>hood during residency more accessible, promoting diversity in academic otolaryngology.</w:t>
            </w:r>
          </w:p>
        </w:tc>
        <w:tc>
          <w:tcPr>
            <w:tcW w:w="1290" w:type="dxa"/>
          </w:tcPr>
          <w:p w14:paraId="7054292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Interview</w:t>
            </w:r>
          </w:p>
        </w:tc>
        <w:tc>
          <w:tcPr>
            <w:tcW w:w="1005" w:type="dxa"/>
            <w:tcBorders>
              <w:top w:val="single" w:sz="6" w:space="0" w:color="000000"/>
            </w:tcBorders>
            <w:tcMar>
              <w:top w:w="0" w:type="dxa"/>
              <w:left w:w="40" w:type="dxa"/>
              <w:bottom w:w="0" w:type="dxa"/>
              <w:right w:w="40" w:type="dxa"/>
            </w:tcMar>
          </w:tcPr>
          <w:p w14:paraId="67BAB9A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0D1BF61D" w14:textId="77777777">
        <w:trPr>
          <w:trHeight w:val="440"/>
        </w:trPr>
        <w:tc>
          <w:tcPr>
            <w:tcW w:w="525" w:type="dxa"/>
            <w:tcMar>
              <w:top w:w="100" w:type="dxa"/>
              <w:left w:w="100" w:type="dxa"/>
              <w:bottom w:w="100" w:type="dxa"/>
              <w:right w:w="100" w:type="dxa"/>
            </w:tcMar>
          </w:tcPr>
          <w:p w14:paraId="0299964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46</w:t>
            </w:r>
          </w:p>
        </w:tc>
        <w:tc>
          <w:tcPr>
            <w:tcW w:w="990" w:type="dxa"/>
            <w:tcBorders>
              <w:top w:val="single" w:sz="6" w:space="0" w:color="000000"/>
            </w:tcBorders>
            <w:tcMar>
              <w:top w:w="0" w:type="dxa"/>
              <w:left w:w="40" w:type="dxa"/>
              <w:bottom w:w="0" w:type="dxa"/>
              <w:right w:w="40" w:type="dxa"/>
            </w:tcMar>
          </w:tcPr>
          <w:p w14:paraId="5927B18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tcBorders>
            <w:tcMar>
              <w:top w:w="0" w:type="dxa"/>
              <w:left w:w="40" w:type="dxa"/>
              <w:bottom w:w="0" w:type="dxa"/>
              <w:right w:w="40" w:type="dxa"/>
            </w:tcMar>
          </w:tcPr>
          <w:p w14:paraId="62D3990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Cheung, H. K., Anderson, A. J., King, E. B., Mahabir, B., Warner, K., &amp; Jones, K. P.</w:t>
            </w:r>
          </w:p>
        </w:tc>
        <w:tc>
          <w:tcPr>
            <w:tcW w:w="1770" w:type="dxa"/>
            <w:tcBorders>
              <w:top w:val="single" w:sz="6" w:space="0" w:color="000000"/>
            </w:tcBorders>
            <w:tcMar>
              <w:top w:w="0" w:type="dxa"/>
              <w:left w:w="40" w:type="dxa"/>
              <w:bottom w:w="0" w:type="dxa"/>
              <w:right w:w="40" w:type="dxa"/>
            </w:tcMar>
          </w:tcPr>
          <w:p w14:paraId="6AA22CC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Beyond the baby bump: Subtle discrimination against working mothers in the hiring process</w:t>
            </w:r>
          </w:p>
        </w:tc>
        <w:tc>
          <w:tcPr>
            <w:tcW w:w="1065" w:type="dxa"/>
            <w:tcBorders>
              <w:top w:val="single" w:sz="6" w:space="0" w:color="000000"/>
            </w:tcBorders>
            <w:tcMar>
              <w:top w:w="0" w:type="dxa"/>
              <w:left w:w="40" w:type="dxa"/>
              <w:bottom w:w="0" w:type="dxa"/>
              <w:right w:w="40" w:type="dxa"/>
            </w:tcMar>
          </w:tcPr>
          <w:p w14:paraId="6A9CD7E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Business and Psychology</w:t>
            </w:r>
          </w:p>
        </w:tc>
        <w:tc>
          <w:tcPr>
            <w:tcW w:w="1710" w:type="dxa"/>
            <w:tcMar>
              <w:top w:w="0" w:type="dxa"/>
              <w:left w:w="40" w:type="dxa"/>
              <w:bottom w:w="0" w:type="dxa"/>
              <w:right w:w="40" w:type="dxa"/>
            </w:tcMar>
          </w:tcPr>
          <w:p w14:paraId="1E14DF84"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Quasi experimental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1CF8FD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633; </w:t>
            </w:r>
            <w:r>
              <w:rPr>
                <w:rFonts w:ascii="Times New Roman" w:eastAsia="Times New Roman" w:hAnsi="Times New Roman" w:cs="Times New Roman"/>
                <w:sz w:val="18"/>
                <w:szCs w:val="18"/>
              </w:rPr>
              <w:br/>
              <w:t>N = 642</w:t>
            </w:r>
          </w:p>
        </w:tc>
        <w:tc>
          <w:tcPr>
            <w:tcW w:w="4455" w:type="dxa"/>
            <w:tcBorders>
              <w:top w:val="single" w:sz="6" w:space="0" w:color="000000"/>
            </w:tcBorders>
            <w:tcMar>
              <w:top w:w="0" w:type="dxa"/>
              <w:left w:w="40" w:type="dxa"/>
              <w:bottom w:w="0" w:type="dxa"/>
              <w:right w:w="40" w:type="dxa"/>
            </w:tcMar>
          </w:tcPr>
          <w:p w14:paraId="32CCF5A1" w14:textId="77777777" w:rsidR="00BC16EB" w:rsidRDefault="005714A1">
            <w:pPr>
              <w:widowControl w:val="0"/>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color w:val="0E0E0E"/>
                <w:sz w:val="18"/>
                <w:szCs w:val="18"/>
              </w:rPr>
              <w:t xml:space="preserve">In a field experiment applying to geographically dispersed jobs with manipulated resumes, we found evidence of subtle discrimination against mothers. Mothers received more negative callback messages than women without children, men without children, and fathers, and were rejected more quickly than women without children and fathers. In a second, more controlled experimental paradigm, we tested the hypothesis in a hypothetical interview setting, where mothers experienced more interpersonal hostility across </w:t>
            </w:r>
            <w:r>
              <w:rPr>
                <w:rFonts w:ascii="Times New Roman" w:eastAsia="Times New Roman" w:hAnsi="Times New Roman" w:cs="Times New Roman"/>
                <w:color w:val="0E0E0E"/>
                <w:sz w:val="18"/>
                <w:szCs w:val="18"/>
              </w:rPr>
              <w:lastRenderedPageBreak/>
              <w:t>different job types compared to women without children. Together, these studies highlight the presence of subtle discrimination against working mothers at various stages of the hiring process.</w:t>
            </w:r>
          </w:p>
        </w:tc>
        <w:tc>
          <w:tcPr>
            <w:tcW w:w="1290" w:type="dxa"/>
          </w:tcPr>
          <w:p w14:paraId="7BF7FDD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Randomized controlled trial (RCT)</w:t>
            </w:r>
          </w:p>
        </w:tc>
        <w:tc>
          <w:tcPr>
            <w:tcW w:w="1005" w:type="dxa"/>
            <w:tcBorders>
              <w:top w:val="single" w:sz="6" w:space="0" w:color="000000"/>
            </w:tcBorders>
            <w:tcMar>
              <w:top w:w="0" w:type="dxa"/>
              <w:left w:w="40" w:type="dxa"/>
              <w:bottom w:w="0" w:type="dxa"/>
              <w:right w:w="40" w:type="dxa"/>
            </w:tcMar>
          </w:tcPr>
          <w:p w14:paraId="73D352C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1D58E6BA" w14:textId="77777777">
        <w:trPr>
          <w:trHeight w:val="440"/>
        </w:trPr>
        <w:tc>
          <w:tcPr>
            <w:tcW w:w="525" w:type="dxa"/>
            <w:tcMar>
              <w:top w:w="100" w:type="dxa"/>
              <w:left w:w="100" w:type="dxa"/>
              <w:bottom w:w="100" w:type="dxa"/>
              <w:right w:w="100" w:type="dxa"/>
            </w:tcMar>
          </w:tcPr>
          <w:p w14:paraId="04BD6B37"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47</w:t>
            </w:r>
          </w:p>
        </w:tc>
        <w:tc>
          <w:tcPr>
            <w:tcW w:w="990" w:type="dxa"/>
            <w:tcBorders>
              <w:top w:val="single" w:sz="6" w:space="0" w:color="000000"/>
            </w:tcBorders>
            <w:tcMar>
              <w:top w:w="0" w:type="dxa"/>
              <w:left w:w="40" w:type="dxa"/>
              <w:bottom w:w="0" w:type="dxa"/>
              <w:right w:w="40" w:type="dxa"/>
            </w:tcMar>
          </w:tcPr>
          <w:p w14:paraId="71C6C4B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tcBorders>
            <w:tcMar>
              <w:top w:w="0" w:type="dxa"/>
              <w:left w:w="40" w:type="dxa"/>
              <w:bottom w:w="0" w:type="dxa"/>
              <w:right w:w="40" w:type="dxa"/>
            </w:tcMar>
          </w:tcPr>
          <w:p w14:paraId="71749E7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Dillard, N., &amp; Walker, C. M. </w:t>
            </w:r>
          </w:p>
        </w:tc>
        <w:tc>
          <w:tcPr>
            <w:tcW w:w="1770" w:type="dxa"/>
            <w:tcBorders>
              <w:top w:val="single" w:sz="6" w:space="0" w:color="000000"/>
            </w:tcBorders>
            <w:tcMar>
              <w:top w:w="0" w:type="dxa"/>
              <w:left w:w="40" w:type="dxa"/>
              <w:bottom w:w="0" w:type="dxa"/>
              <w:right w:w="40" w:type="dxa"/>
            </w:tcMar>
          </w:tcPr>
          <w:p w14:paraId="21F0A8F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Black mothers at work: A contemplative and anti-oppressive approach to dismantling workplace oppression </w:t>
            </w:r>
          </w:p>
        </w:tc>
        <w:tc>
          <w:tcPr>
            <w:tcW w:w="1065" w:type="dxa"/>
            <w:tcBorders>
              <w:top w:val="single" w:sz="6" w:space="0" w:color="000000"/>
            </w:tcBorders>
            <w:tcMar>
              <w:top w:w="0" w:type="dxa"/>
              <w:left w:w="40" w:type="dxa"/>
              <w:bottom w:w="0" w:type="dxa"/>
              <w:right w:w="40" w:type="dxa"/>
            </w:tcMar>
          </w:tcPr>
          <w:p w14:paraId="288F660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Management, Spirituality &amp; Religion</w:t>
            </w:r>
          </w:p>
        </w:tc>
        <w:tc>
          <w:tcPr>
            <w:tcW w:w="1710" w:type="dxa"/>
            <w:tcBorders>
              <w:top w:val="single" w:sz="6" w:space="0" w:color="000000"/>
            </w:tcBorders>
            <w:tcMar>
              <w:top w:w="0" w:type="dxa"/>
              <w:left w:w="40" w:type="dxa"/>
              <w:bottom w:w="0" w:type="dxa"/>
              <w:right w:w="40" w:type="dxa"/>
            </w:tcMar>
          </w:tcPr>
          <w:p w14:paraId="2048C60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2E28F1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10</w:t>
            </w:r>
          </w:p>
        </w:tc>
        <w:tc>
          <w:tcPr>
            <w:tcW w:w="4455" w:type="dxa"/>
            <w:tcBorders>
              <w:top w:val="single" w:sz="6" w:space="0" w:color="000000"/>
            </w:tcBorders>
            <w:tcMar>
              <w:top w:w="0" w:type="dxa"/>
              <w:left w:w="40" w:type="dxa"/>
              <w:bottom w:w="0" w:type="dxa"/>
              <w:right w:w="40" w:type="dxa"/>
            </w:tcMar>
          </w:tcPr>
          <w:p w14:paraId="6898C2FE" w14:textId="77777777" w:rsidR="00BC16EB" w:rsidRDefault="005714A1">
            <w:pPr>
              <w:widowControl w:val="0"/>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color w:val="0E0E0E"/>
                <w:sz w:val="18"/>
                <w:szCs w:val="18"/>
              </w:rPr>
              <w:t>In conclusion, the authors would like to offer Rosa Parks as an example of a Black woman who embodied contemplative anti-oppressive practice. Parks exhibited contemplative strength as she responded to the order to move to the back of the bus because she was Black. Yet she sat. While people yelled at her and the police threatened, she sat. The stillness within became a sign of external dignity and a model of contemplative activism. When she was asked to vacate her seat, three other black passengers were also</w:t>
            </w:r>
            <w:r>
              <w:rPr>
                <w:rFonts w:ascii="Times New Roman" w:eastAsia="Times New Roman" w:hAnsi="Times New Roman" w:cs="Times New Roman"/>
                <w:color w:val="0E0E0E"/>
                <w:sz w:val="18"/>
                <w:szCs w:val="18"/>
              </w:rPr>
              <w:t xml:space="preserve"> asked to move from a row of seats behind the whites-only section. They obeyed; she did not. As a laywoman acquainted with the struggle for justice, her actions become the quintessential expression of the power of the people. What could be more contemplative than the act of sitting silently? (Holmes, 2017: 132–133) Parks’ refusal to move was not a sudden, out-of-character, act. She had been preparing herself so that, </w:t>
            </w:r>
            <w:r>
              <w:rPr>
                <w:rFonts w:ascii="Times New Roman" w:eastAsia="Times New Roman" w:hAnsi="Times New Roman" w:cs="Times New Roman"/>
                <w:color w:val="0E0E0E"/>
                <w:sz w:val="18"/>
                <w:szCs w:val="18"/>
              </w:rPr>
              <w:lastRenderedPageBreak/>
              <w:t>when the moment came, she would be ready (Parks &amp; Reed, 1994). Through stillness and action</w:t>
            </w:r>
            <w:r>
              <w:rPr>
                <w:rFonts w:ascii="Times New Roman" w:eastAsia="Times New Roman" w:hAnsi="Times New Roman" w:cs="Times New Roman"/>
                <w:color w:val="0E0E0E"/>
                <w:sz w:val="18"/>
                <w:szCs w:val="18"/>
              </w:rPr>
              <w:t xml:space="preserve">, she transcended the limitations of her external circumstances (Merton, 2007) igniting a flame of collective action against oppression. Extending the legacy of Black women like Parks, the mothers in this study offered examples in stillness and in action that worked to identify, resist, and dismantle workplace oppression. Their intentionality and boldness in challenging oppression provides a model for all of us, not just managers, to join them in that work. </w:t>
            </w:r>
          </w:p>
        </w:tc>
        <w:tc>
          <w:tcPr>
            <w:tcW w:w="1290" w:type="dxa"/>
          </w:tcPr>
          <w:p w14:paraId="477D6F5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Semi-structured</w:t>
            </w:r>
          </w:p>
          <w:p w14:paraId="3225AAC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w:t>
            </w:r>
          </w:p>
          <w:p w14:paraId="6A169C3E" w14:textId="77777777" w:rsidR="00BC16EB" w:rsidRDefault="00BC16EB">
            <w:pPr>
              <w:widowControl w:val="0"/>
              <w:spacing w:line="480" w:lineRule="auto"/>
              <w:rPr>
                <w:rFonts w:ascii="Times New Roman" w:eastAsia="Times New Roman" w:hAnsi="Times New Roman" w:cs="Times New Roman"/>
                <w:sz w:val="18"/>
                <w:szCs w:val="18"/>
              </w:rPr>
            </w:pPr>
          </w:p>
        </w:tc>
        <w:tc>
          <w:tcPr>
            <w:tcW w:w="1005" w:type="dxa"/>
            <w:tcBorders>
              <w:top w:val="single" w:sz="6" w:space="0" w:color="000000"/>
            </w:tcBorders>
            <w:tcMar>
              <w:top w:w="0" w:type="dxa"/>
              <w:left w:w="40" w:type="dxa"/>
              <w:bottom w:w="0" w:type="dxa"/>
              <w:right w:w="40" w:type="dxa"/>
            </w:tcMar>
          </w:tcPr>
          <w:p w14:paraId="0074D69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2AC98DA9" w14:textId="77777777">
        <w:trPr>
          <w:trHeight w:val="440"/>
        </w:trPr>
        <w:tc>
          <w:tcPr>
            <w:tcW w:w="525" w:type="dxa"/>
            <w:tcMar>
              <w:top w:w="100" w:type="dxa"/>
              <w:left w:w="100" w:type="dxa"/>
              <w:bottom w:w="100" w:type="dxa"/>
              <w:right w:w="100" w:type="dxa"/>
            </w:tcMar>
          </w:tcPr>
          <w:p w14:paraId="769823D1"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48</w:t>
            </w:r>
          </w:p>
        </w:tc>
        <w:tc>
          <w:tcPr>
            <w:tcW w:w="990" w:type="dxa"/>
            <w:tcBorders>
              <w:top w:val="single" w:sz="6" w:space="0" w:color="000000"/>
            </w:tcBorders>
            <w:tcMar>
              <w:top w:w="0" w:type="dxa"/>
              <w:left w:w="40" w:type="dxa"/>
              <w:bottom w:w="0" w:type="dxa"/>
              <w:right w:w="40" w:type="dxa"/>
            </w:tcMar>
          </w:tcPr>
          <w:p w14:paraId="45A301B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tcBorders>
            <w:tcMar>
              <w:top w:w="0" w:type="dxa"/>
              <w:left w:w="40" w:type="dxa"/>
              <w:bottom w:w="0" w:type="dxa"/>
              <w:right w:w="40" w:type="dxa"/>
            </w:tcMar>
          </w:tcPr>
          <w:p w14:paraId="1986E58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Jones, K.P., Brady, J. M., Lindsey, A. P., Cortina L. M. &amp; Major, C. K.</w:t>
            </w:r>
          </w:p>
        </w:tc>
        <w:tc>
          <w:tcPr>
            <w:tcW w:w="1770" w:type="dxa"/>
            <w:tcBorders>
              <w:top w:val="single" w:sz="6" w:space="0" w:color="000000"/>
            </w:tcBorders>
            <w:tcMar>
              <w:top w:w="0" w:type="dxa"/>
              <w:left w:w="40" w:type="dxa"/>
              <w:bottom w:w="0" w:type="dxa"/>
              <w:right w:w="40" w:type="dxa"/>
            </w:tcMar>
          </w:tcPr>
          <w:p w14:paraId="671FA65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Interactive Effects of Coworker and Supervisor Support on Prenatal Stress and Postpartum Health: a Time-Lagged Investigation</w:t>
            </w:r>
          </w:p>
        </w:tc>
        <w:tc>
          <w:tcPr>
            <w:tcW w:w="1065" w:type="dxa"/>
            <w:tcBorders>
              <w:top w:val="single" w:sz="6" w:space="0" w:color="000000"/>
            </w:tcBorders>
            <w:tcMar>
              <w:top w:w="0" w:type="dxa"/>
              <w:left w:w="40" w:type="dxa"/>
              <w:bottom w:w="0" w:type="dxa"/>
              <w:right w:w="40" w:type="dxa"/>
            </w:tcMar>
          </w:tcPr>
          <w:p w14:paraId="443DF41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Business and Psychology</w:t>
            </w:r>
          </w:p>
        </w:tc>
        <w:tc>
          <w:tcPr>
            <w:tcW w:w="1710" w:type="dxa"/>
            <w:tcBorders>
              <w:top w:val="single" w:sz="6" w:space="0" w:color="000000"/>
            </w:tcBorders>
            <w:tcMar>
              <w:top w:w="0" w:type="dxa"/>
              <w:left w:w="40" w:type="dxa"/>
              <w:bottom w:w="0" w:type="dxa"/>
              <w:right w:w="40" w:type="dxa"/>
            </w:tcMar>
          </w:tcPr>
          <w:p w14:paraId="17CAA41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Cohort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406295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118</w:t>
            </w:r>
          </w:p>
        </w:tc>
        <w:tc>
          <w:tcPr>
            <w:tcW w:w="4455" w:type="dxa"/>
            <w:tcBorders>
              <w:top w:val="single" w:sz="6" w:space="0" w:color="000000"/>
            </w:tcBorders>
            <w:tcMar>
              <w:top w:w="0" w:type="dxa"/>
              <w:left w:w="40" w:type="dxa"/>
              <w:bottom w:w="0" w:type="dxa"/>
              <w:right w:w="40" w:type="dxa"/>
            </w:tcMar>
          </w:tcPr>
          <w:p w14:paraId="0B6C319E" w14:textId="77777777" w:rsidR="00BC16EB" w:rsidRDefault="005714A1">
            <w:pPr>
              <w:widowControl w:val="0"/>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color w:val="0E0E0E"/>
                <w:sz w:val="18"/>
                <w:szCs w:val="18"/>
              </w:rPr>
              <w:t>The study found that coworker and supervisor support interactively influence prenatal stress levels. Women who reported both types of support experienced lower prenatal stress, which correlated with reduced postpartum depression and quicker recovery from birth-related injuries. Specifically, higher perceptions of supervisor support enhanced the positive impact of coworker support on reducing prenatal stress. While coworker support was negatively associated with prenatal stress, supervisor support did not sh</w:t>
            </w:r>
            <w:r>
              <w:rPr>
                <w:rFonts w:ascii="Times New Roman" w:eastAsia="Times New Roman" w:hAnsi="Times New Roman" w:cs="Times New Roman"/>
                <w:color w:val="0E0E0E"/>
                <w:sz w:val="18"/>
                <w:szCs w:val="18"/>
              </w:rPr>
              <w:t xml:space="preserve">ow a significant effect. Overall, these </w:t>
            </w:r>
            <w:r>
              <w:rPr>
                <w:rFonts w:ascii="Times New Roman" w:eastAsia="Times New Roman" w:hAnsi="Times New Roman" w:cs="Times New Roman"/>
                <w:color w:val="0E0E0E"/>
                <w:sz w:val="18"/>
                <w:szCs w:val="18"/>
              </w:rPr>
              <w:lastRenderedPageBreak/>
              <w:t>findings highlight the importance of workplace relationships in mitigating prenatal stress and improving maternal health outcomes during and after pregnancy.</w:t>
            </w:r>
          </w:p>
        </w:tc>
        <w:tc>
          <w:tcPr>
            <w:tcW w:w="1290" w:type="dxa"/>
          </w:tcPr>
          <w:p w14:paraId="50B8336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Online Survey</w:t>
            </w:r>
          </w:p>
        </w:tc>
        <w:tc>
          <w:tcPr>
            <w:tcW w:w="1005" w:type="dxa"/>
            <w:tcBorders>
              <w:top w:val="single" w:sz="6" w:space="0" w:color="000000"/>
            </w:tcBorders>
            <w:tcMar>
              <w:top w:w="0" w:type="dxa"/>
              <w:left w:w="40" w:type="dxa"/>
              <w:bottom w:w="0" w:type="dxa"/>
              <w:right w:w="40" w:type="dxa"/>
            </w:tcMar>
          </w:tcPr>
          <w:p w14:paraId="4599727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1717AA5E" w14:textId="77777777">
        <w:trPr>
          <w:trHeight w:val="440"/>
        </w:trPr>
        <w:tc>
          <w:tcPr>
            <w:tcW w:w="525" w:type="dxa"/>
            <w:tcMar>
              <w:top w:w="100" w:type="dxa"/>
              <w:left w:w="100" w:type="dxa"/>
              <w:bottom w:w="100" w:type="dxa"/>
              <w:right w:w="100" w:type="dxa"/>
            </w:tcMar>
          </w:tcPr>
          <w:p w14:paraId="114C4FF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990" w:type="dxa"/>
            <w:tcBorders>
              <w:top w:val="single" w:sz="6" w:space="0" w:color="000000"/>
            </w:tcBorders>
            <w:tcMar>
              <w:top w:w="0" w:type="dxa"/>
              <w:left w:w="40" w:type="dxa"/>
              <w:bottom w:w="0" w:type="dxa"/>
              <w:right w:w="40" w:type="dxa"/>
            </w:tcMar>
          </w:tcPr>
          <w:p w14:paraId="37A523E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tcBorders>
            <w:tcMar>
              <w:top w:w="0" w:type="dxa"/>
              <w:left w:w="40" w:type="dxa"/>
              <w:bottom w:w="0" w:type="dxa"/>
              <w:right w:w="40" w:type="dxa"/>
            </w:tcMar>
          </w:tcPr>
          <w:p w14:paraId="555E447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Kachi, Y., Fujiwara, T., Inoue, A., Baba, S., Eguchi, H., Ohta, H., &amp; Tsutsumi, A. </w:t>
            </w:r>
          </w:p>
        </w:tc>
        <w:tc>
          <w:tcPr>
            <w:tcW w:w="1770" w:type="dxa"/>
            <w:tcBorders>
              <w:top w:val="single" w:sz="6" w:space="0" w:color="000000"/>
            </w:tcBorders>
            <w:tcMar>
              <w:top w:w="0" w:type="dxa"/>
              <w:left w:w="40" w:type="dxa"/>
              <w:bottom w:w="0" w:type="dxa"/>
              <w:right w:w="40" w:type="dxa"/>
            </w:tcMar>
          </w:tcPr>
          <w:p w14:paraId="1C750E8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effects of pregnancy discrimination on postpartum depressive symptoms: a follow-up study</w:t>
            </w:r>
          </w:p>
        </w:tc>
        <w:tc>
          <w:tcPr>
            <w:tcW w:w="1065" w:type="dxa"/>
            <w:tcBorders>
              <w:top w:val="single" w:sz="6" w:space="0" w:color="000000"/>
            </w:tcBorders>
            <w:tcMar>
              <w:top w:w="0" w:type="dxa"/>
              <w:left w:w="40" w:type="dxa"/>
              <w:bottom w:w="0" w:type="dxa"/>
              <w:right w:w="40" w:type="dxa"/>
            </w:tcMar>
          </w:tcPr>
          <w:p w14:paraId="51BC0D1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BMC Pregnancy and Childbirth</w:t>
            </w:r>
          </w:p>
        </w:tc>
        <w:tc>
          <w:tcPr>
            <w:tcW w:w="1710" w:type="dxa"/>
            <w:tcBorders>
              <w:top w:val="single" w:sz="6" w:space="0" w:color="000000"/>
            </w:tcBorders>
            <w:tcMar>
              <w:top w:w="0" w:type="dxa"/>
              <w:left w:w="40" w:type="dxa"/>
              <w:bottom w:w="0" w:type="dxa"/>
              <w:right w:w="40" w:type="dxa"/>
            </w:tcMar>
          </w:tcPr>
          <w:p w14:paraId="364F0B5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Cohort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172D63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285 </w:t>
            </w:r>
          </w:p>
        </w:tc>
        <w:tc>
          <w:tcPr>
            <w:tcW w:w="4455" w:type="dxa"/>
            <w:tcBorders>
              <w:top w:val="single" w:sz="6" w:space="0" w:color="000000"/>
            </w:tcBorders>
            <w:tcMar>
              <w:top w:w="0" w:type="dxa"/>
              <w:left w:w="40" w:type="dxa"/>
              <w:bottom w:w="0" w:type="dxa"/>
              <w:right w:w="40" w:type="dxa"/>
            </w:tcMar>
          </w:tcPr>
          <w:p w14:paraId="7D91762A" w14:textId="77777777" w:rsidR="00BC16EB" w:rsidRDefault="005714A1">
            <w:pPr>
              <w:widowControl w:val="0"/>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color w:val="0E0E0E"/>
                <w:sz w:val="18"/>
                <w:szCs w:val="18"/>
              </w:rPr>
              <w:t>The study examined the effects of pregnancy discrimination on postpartum depressive symptoms among employed women, considering employment type (regular vs. non-regular). Overall, 23.9% of participants reported experiencing discrimination. After adjusting for potential confounders, discrimination was significantly associated with postpartum depressive symptoms (coefficient 1.76), with a stronger effect observed among non-regular employees (coefficient 2.51). Mediation analysis showed that prenatal depressive</w:t>
            </w:r>
            <w:r>
              <w:rPr>
                <w:rFonts w:ascii="Times New Roman" w:eastAsia="Times New Roman" w:hAnsi="Times New Roman" w:cs="Times New Roman"/>
                <w:color w:val="0E0E0E"/>
                <w:sz w:val="18"/>
                <w:szCs w:val="18"/>
              </w:rPr>
              <w:t xml:space="preserve"> symptoms mediated 57.1% of the association, with a greater effect for non-regular employees (64.1%). The findings indicate that pregnancy discrimination adversely affects postpartum depressive symptoms, particularly among precarious employees, highlighting the need for preventive measures by employers.</w:t>
            </w:r>
          </w:p>
        </w:tc>
        <w:tc>
          <w:tcPr>
            <w:tcW w:w="1290" w:type="dxa"/>
          </w:tcPr>
          <w:p w14:paraId="506F163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Online Survey</w:t>
            </w:r>
          </w:p>
        </w:tc>
        <w:tc>
          <w:tcPr>
            <w:tcW w:w="1005" w:type="dxa"/>
            <w:tcBorders>
              <w:top w:val="single" w:sz="6" w:space="0" w:color="000000"/>
            </w:tcBorders>
            <w:tcMar>
              <w:top w:w="0" w:type="dxa"/>
              <w:left w:w="40" w:type="dxa"/>
              <w:bottom w:w="0" w:type="dxa"/>
              <w:right w:w="40" w:type="dxa"/>
            </w:tcMar>
          </w:tcPr>
          <w:p w14:paraId="50B3A6E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Japan</w:t>
            </w:r>
          </w:p>
        </w:tc>
      </w:tr>
      <w:tr w:rsidR="00BC16EB" w14:paraId="73A9CD95" w14:textId="77777777">
        <w:trPr>
          <w:trHeight w:val="440"/>
        </w:trPr>
        <w:tc>
          <w:tcPr>
            <w:tcW w:w="525" w:type="dxa"/>
            <w:tcMar>
              <w:top w:w="100" w:type="dxa"/>
              <w:left w:w="100" w:type="dxa"/>
              <w:bottom w:w="100" w:type="dxa"/>
              <w:right w:w="100" w:type="dxa"/>
            </w:tcMar>
          </w:tcPr>
          <w:p w14:paraId="01EF8A94"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c>
          <w:tcPr>
            <w:tcW w:w="990" w:type="dxa"/>
            <w:tcMar>
              <w:top w:w="0" w:type="dxa"/>
              <w:left w:w="40" w:type="dxa"/>
              <w:bottom w:w="0" w:type="dxa"/>
              <w:right w:w="40" w:type="dxa"/>
            </w:tcMar>
          </w:tcPr>
          <w:p w14:paraId="5DA40C9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Mar>
              <w:top w:w="0" w:type="dxa"/>
              <w:left w:w="40" w:type="dxa"/>
              <w:bottom w:w="0" w:type="dxa"/>
              <w:right w:w="40" w:type="dxa"/>
            </w:tcMar>
          </w:tcPr>
          <w:p w14:paraId="7984830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Peterson Gloor, J. L., </w:t>
            </w:r>
            <w:r>
              <w:rPr>
                <w:rFonts w:ascii="Times New Roman" w:eastAsia="Times New Roman" w:hAnsi="Times New Roman" w:cs="Times New Roman"/>
                <w:sz w:val="18"/>
                <w:szCs w:val="18"/>
              </w:rPr>
              <w:lastRenderedPageBreak/>
              <w:t>Okimoto, T. G., &amp; King, E. B.</w:t>
            </w:r>
          </w:p>
        </w:tc>
        <w:tc>
          <w:tcPr>
            <w:tcW w:w="1770" w:type="dxa"/>
            <w:tcMar>
              <w:top w:w="0" w:type="dxa"/>
              <w:left w:w="40" w:type="dxa"/>
              <w:bottom w:w="0" w:type="dxa"/>
              <w:right w:w="40" w:type="dxa"/>
            </w:tcMar>
          </w:tcPr>
          <w:p w14:paraId="6BA3A9E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“Maybe baby?” The employment risk of </w:t>
            </w:r>
            <w:r>
              <w:rPr>
                <w:rFonts w:ascii="Times New Roman" w:eastAsia="Times New Roman" w:hAnsi="Times New Roman" w:cs="Times New Roman"/>
                <w:sz w:val="18"/>
                <w:szCs w:val="18"/>
              </w:rPr>
              <w:lastRenderedPageBreak/>
              <w:t>potential parenthood</w:t>
            </w:r>
          </w:p>
        </w:tc>
        <w:tc>
          <w:tcPr>
            <w:tcW w:w="1065" w:type="dxa"/>
            <w:tcMar>
              <w:top w:w="0" w:type="dxa"/>
              <w:left w:w="40" w:type="dxa"/>
              <w:bottom w:w="0" w:type="dxa"/>
              <w:right w:w="40" w:type="dxa"/>
            </w:tcMar>
          </w:tcPr>
          <w:p w14:paraId="00B95D8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Journal of Applied </w:t>
            </w:r>
            <w:r>
              <w:rPr>
                <w:rFonts w:ascii="Times New Roman" w:eastAsia="Times New Roman" w:hAnsi="Times New Roman" w:cs="Times New Roman"/>
                <w:sz w:val="18"/>
                <w:szCs w:val="18"/>
              </w:rPr>
              <w:lastRenderedPageBreak/>
              <w:t>Social Psychology</w:t>
            </w:r>
          </w:p>
        </w:tc>
        <w:tc>
          <w:tcPr>
            <w:tcW w:w="1710" w:type="dxa"/>
            <w:tcMar>
              <w:top w:w="0" w:type="dxa"/>
              <w:left w:w="40" w:type="dxa"/>
              <w:bottom w:w="0" w:type="dxa"/>
              <w:right w:w="40" w:type="dxa"/>
            </w:tcMar>
          </w:tcPr>
          <w:p w14:paraId="6245EBD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Study 1: Cross-Sectional Study;</w:t>
            </w:r>
          </w:p>
          <w:p w14:paraId="2F74A0B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Study 2: Quasi Experimental Studies</w:t>
            </w:r>
          </w:p>
        </w:tc>
        <w:tc>
          <w:tcPr>
            <w:tcW w:w="1110" w:type="dxa"/>
            <w:tcMar>
              <w:top w:w="0" w:type="dxa"/>
              <w:left w:w="40" w:type="dxa"/>
              <w:bottom w:w="0" w:type="dxa"/>
              <w:right w:w="40" w:type="dxa"/>
            </w:tcMar>
          </w:tcPr>
          <w:p w14:paraId="2846987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N Study 1: 790;</w:t>
            </w:r>
          </w:p>
          <w:p w14:paraId="375332F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N Study 2: 376</w:t>
            </w:r>
          </w:p>
        </w:tc>
        <w:tc>
          <w:tcPr>
            <w:tcW w:w="4455" w:type="dxa"/>
            <w:tcMar>
              <w:top w:w="0" w:type="dxa"/>
              <w:left w:w="40" w:type="dxa"/>
              <w:bottom w:w="0" w:type="dxa"/>
              <w:right w:w="40" w:type="dxa"/>
            </w:tcMar>
          </w:tcPr>
          <w:p w14:paraId="0DD6261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Results from a field study and an experiment show that young, childfree women of childbearing age face higher </w:t>
            </w:r>
            <w:r>
              <w:rPr>
                <w:rFonts w:ascii="Times New Roman" w:eastAsia="Times New Roman" w:hAnsi="Times New Roman" w:cs="Times New Roman"/>
                <w:sz w:val="18"/>
                <w:szCs w:val="18"/>
              </w:rPr>
              <w:lastRenderedPageBreak/>
              <w:t>employment risks due to perceived "maybe baby" biases. Managers are more likely to offer temporary contracts to these women, viewing potential parenthood as a risk, unlike with men or women outside this age range. Women can mitigate this bias by signalling low interest in having children or by emphasising their dedication to work. These biases highlight the need for greater fairness and objectivity in hiring, as such practices hinder workforce diversity and stability, especially for early-career women.</w:t>
            </w:r>
          </w:p>
        </w:tc>
        <w:tc>
          <w:tcPr>
            <w:tcW w:w="1290" w:type="dxa"/>
            <w:tcMar>
              <w:top w:w="0" w:type="dxa"/>
              <w:left w:w="40" w:type="dxa"/>
              <w:bottom w:w="0" w:type="dxa"/>
              <w:right w:w="40" w:type="dxa"/>
            </w:tcMar>
          </w:tcPr>
          <w:p w14:paraId="6B80E2D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Mixed methods;</w:t>
            </w:r>
          </w:p>
          <w:p w14:paraId="4A8BA78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Themes analysis</w:t>
            </w:r>
          </w:p>
        </w:tc>
        <w:tc>
          <w:tcPr>
            <w:tcW w:w="1005" w:type="dxa"/>
            <w:tcMar>
              <w:top w:w="0" w:type="dxa"/>
              <w:left w:w="40" w:type="dxa"/>
              <w:bottom w:w="0" w:type="dxa"/>
              <w:right w:w="40" w:type="dxa"/>
            </w:tcMar>
          </w:tcPr>
          <w:p w14:paraId="6AA5BF5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Switzerland</w:t>
            </w:r>
          </w:p>
        </w:tc>
      </w:tr>
      <w:tr w:rsidR="00BC16EB" w14:paraId="31CA0D5D" w14:textId="77777777">
        <w:trPr>
          <w:trHeight w:val="440"/>
        </w:trPr>
        <w:tc>
          <w:tcPr>
            <w:tcW w:w="525" w:type="dxa"/>
            <w:tcBorders>
              <w:left w:val="single" w:sz="6" w:space="0" w:color="000000"/>
            </w:tcBorders>
            <w:tcMar>
              <w:top w:w="0" w:type="dxa"/>
              <w:left w:w="40" w:type="dxa"/>
              <w:bottom w:w="0" w:type="dxa"/>
              <w:right w:w="40" w:type="dxa"/>
            </w:tcMar>
          </w:tcPr>
          <w:p w14:paraId="5440C5B0" w14:textId="77777777" w:rsidR="00BC16EB" w:rsidRDefault="005714A1">
            <w:pPr>
              <w:widowControl w:val="0"/>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51</w:t>
            </w:r>
          </w:p>
        </w:tc>
        <w:tc>
          <w:tcPr>
            <w:tcW w:w="990" w:type="dxa"/>
            <w:tcBorders>
              <w:top w:val="single" w:sz="6" w:space="0" w:color="000000"/>
            </w:tcBorders>
            <w:tcMar>
              <w:top w:w="0" w:type="dxa"/>
              <w:left w:w="40" w:type="dxa"/>
              <w:bottom w:w="0" w:type="dxa"/>
              <w:right w:w="40" w:type="dxa"/>
            </w:tcMar>
          </w:tcPr>
          <w:p w14:paraId="53ECD4D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tcBorders>
            <w:tcMar>
              <w:top w:w="0" w:type="dxa"/>
              <w:left w:w="40" w:type="dxa"/>
              <w:bottom w:w="0" w:type="dxa"/>
              <w:right w:w="40" w:type="dxa"/>
            </w:tcMar>
          </w:tcPr>
          <w:p w14:paraId="3FAD34A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Whitley, M., &amp; Banks, A.</w:t>
            </w:r>
          </w:p>
        </w:tc>
        <w:tc>
          <w:tcPr>
            <w:tcW w:w="1770" w:type="dxa"/>
            <w:tcBorders>
              <w:top w:val="single" w:sz="6" w:space="0" w:color="000000"/>
            </w:tcBorders>
            <w:tcMar>
              <w:top w:w="0" w:type="dxa"/>
              <w:left w:w="40" w:type="dxa"/>
              <w:bottom w:w="0" w:type="dxa"/>
              <w:right w:w="40" w:type="dxa"/>
            </w:tcMar>
          </w:tcPr>
          <w:p w14:paraId="72C91B7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Work as an understudied driver of racial inequities in breastfeeding</w:t>
            </w:r>
          </w:p>
        </w:tc>
        <w:tc>
          <w:tcPr>
            <w:tcW w:w="1065" w:type="dxa"/>
            <w:tcBorders>
              <w:top w:val="single" w:sz="6" w:space="0" w:color="000000"/>
            </w:tcBorders>
            <w:tcMar>
              <w:top w:w="0" w:type="dxa"/>
              <w:left w:w="40" w:type="dxa"/>
              <w:bottom w:w="0" w:type="dxa"/>
              <w:right w:w="40" w:type="dxa"/>
            </w:tcMar>
          </w:tcPr>
          <w:p w14:paraId="282FA4A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NEW SOLUTIONS: A Journal of Environmental and Occupational Health Policy</w:t>
            </w:r>
          </w:p>
        </w:tc>
        <w:tc>
          <w:tcPr>
            <w:tcW w:w="1710" w:type="dxa"/>
            <w:tcBorders>
              <w:top w:val="single" w:sz="6" w:space="0" w:color="000000"/>
            </w:tcBorders>
            <w:tcMar>
              <w:top w:w="0" w:type="dxa"/>
              <w:left w:w="40" w:type="dxa"/>
              <w:bottom w:w="0" w:type="dxa"/>
              <w:right w:w="40" w:type="dxa"/>
            </w:tcMar>
          </w:tcPr>
          <w:p w14:paraId="46CCA7C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0E0E0E"/>
                <w:sz w:val="18"/>
                <w:szCs w:val="18"/>
              </w:rPr>
              <w:t>Textual Evidence: Expert Opinion</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44C987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 specified</w:t>
            </w:r>
          </w:p>
        </w:tc>
        <w:tc>
          <w:tcPr>
            <w:tcW w:w="4455" w:type="dxa"/>
            <w:tcBorders>
              <w:top w:val="single" w:sz="6" w:space="0" w:color="000000"/>
            </w:tcBorders>
            <w:tcMar>
              <w:top w:w="0" w:type="dxa"/>
              <w:left w:w="40" w:type="dxa"/>
              <w:bottom w:w="0" w:type="dxa"/>
              <w:right w:w="40" w:type="dxa"/>
            </w:tcMar>
          </w:tcPr>
          <w:p w14:paraId="7980EE28" w14:textId="77777777" w:rsidR="00BC16EB" w:rsidRDefault="005714A1">
            <w:pPr>
              <w:widowControl w:val="0"/>
              <w:spacing w:line="480" w:lineRule="auto"/>
              <w:rPr>
                <w:rFonts w:ascii="Times New Roman" w:eastAsia="Times New Roman" w:hAnsi="Times New Roman" w:cs="Times New Roman"/>
                <w:color w:val="0E0E0E"/>
                <w:sz w:val="18"/>
                <w:szCs w:val="18"/>
              </w:rPr>
            </w:pPr>
            <w:r>
              <w:rPr>
                <w:rFonts w:ascii="Times New Roman" w:eastAsia="Times New Roman" w:hAnsi="Times New Roman" w:cs="Times New Roman"/>
                <w:color w:val="0E0E0E"/>
                <w:sz w:val="18"/>
                <w:szCs w:val="18"/>
              </w:rPr>
              <w:t>This review examines the role of work and working conditions in contributing to ethnic disparities in breastfeeding. We emphasise the need for research on how employment status and working conditions mediate these disparities. Our proposed theoretical framework connects racism, ethnicity, employment status, job type, and working conditions to breastfeeding experiences and outcomes. They synthesise existing literature on facilitators and barriers to breastfeeding, guided by Social Ecological Theory. Key faci</w:t>
            </w:r>
            <w:r>
              <w:rPr>
                <w:rFonts w:ascii="Times New Roman" w:eastAsia="Times New Roman" w:hAnsi="Times New Roman" w:cs="Times New Roman"/>
                <w:color w:val="0E0E0E"/>
                <w:sz w:val="18"/>
                <w:szCs w:val="18"/>
              </w:rPr>
              <w:t xml:space="preserve">litators include family history, previous experience, and support from family and healthcare providers, while barriers </w:t>
            </w:r>
            <w:r>
              <w:rPr>
                <w:rFonts w:ascii="Times New Roman" w:eastAsia="Times New Roman" w:hAnsi="Times New Roman" w:cs="Times New Roman"/>
                <w:color w:val="0E0E0E"/>
                <w:sz w:val="18"/>
                <w:szCs w:val="18"/>
              </w:rPr>
              <w:lastRenderedPageBreak/>
              <w:t>consist of inadequate support, medical challenges, and lack of familial assistance. Notably, some lactation consultants, predominantly white, have provided discriminatory care to Black patients. These barriers may be linked to historical employment conditions that shape current attitudes toward breastfeeding within families and communities.</w:t>
            </w:r>
          </w:p>
        </w:tc>
        <w:tc>
          <w:tcPr>
            <w:tcW w:w="1290" w:type="dxa"/>
          </w:tcPr>
          <w:p w14:paraId="623D5CD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Review</w:t>
            </w:r>
          </w:p>
        </w:tc>
        <w:tc>
          <w:tcPr>
            <w:tcW w:w="1005" w:type="dxa"/>
            <w:tcBorders>
              <w:top w:val="single" w:sz="6" w:space="0" w:color="000000"/>
            </w:tcBorders>
            <w:tcMar>
              <w:top w:w="0" w:type="dxa"/>
              <w:left w:w="40" w:type="dxa"/>
              <w:bottom w:w="0" w:type="dxa"/>
              <w:right w:w="40" w:type="dxa"/>
            </w:tcMar>
          </w:tcPr>
          <w:p w14:paraId="671F2B3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54715725" w14:textId="77777777">
        <w:trPr>
          <w:trHeight w:val="440"/>
        </w:trPr>
        <w:tc>
          <w:tcPr>
            <w:tcW w:w="525" w:type="dxa"/>
            <w:tcMar>
              <w:top w:w="100" w:type="dxa"/>
              <w:left w:w="100" w:type="dxa"/>
              <w:bottom w:w="100" w:type="dxa"/>
              <w:right w:w="100" w:type="dxa"/>
            </w:tcMar>
          </w:tcPr>
          <w:p w14:paraId="2F6F7297"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52</w:t>
            </w:r>
          </w:p>
        </w:tc>
        <w:tc>
          <w:tcPr>
            <w:tcW w:w="990" w:type="dxa"/>
            <w:tcBorders>
              <w:left w:val="single" w:sz="6" w:space="0" w:color="000000"/>
            </w:tcBorders>
            <w:tcMar>
              <w:top w:w="0" w:type="dxa"/>
              <w:left w:w="40" w:type="dxa"/>
              <w:bottom w:w="0" w:type="dxa"/>
              <w:right w:w="40" w:type="dxa"/>
            </w:tcMar>
          </w:tcPr>
          <w:p w14:paraId="618BE17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2023a</w:t>
            </w:r>
          </w:p>
        </w:tc>
        <w:tc>
          <w:tcPr>
            <w:tcW w:w="1110" w:type="dxa"/>
            <w:tcMar>
              <w:top w:w="0" w:type="dxa"/>
              <w:left w:w="40" w:type="dxa"/>
              <w:bottom w:w="0" w:type="dxa"/>
              <w:right w:w="40" w:type="dxa"/>
            </w:tcMar>
          </w:tcPr>
          <w:p w14:paraId="4E55B7E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Borrowman, J. D., Krumboltz, R., Jones, M., &amp; Whitaker, K. M. </w:t>
            </w:r>
          </w:p>
        </w:tc>
        <w:tc>
          <w:tcPr>
            <w:tcW w:w="1770" w:type="dxa"/>
            <w:tcMar>
              <w:top w:w="0" w:type="dxa"/>
              <w:left w:w="40" w:type="dxa"/>
              <w:bottom w:w="0" w:type="dxa"/>
              <w:right w:w="40" w:type="dxa"/>
            </w:tcMar>
          </w:tcPr>
          <w:p w14:paraId="497CBD5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Occupational Pregnancy Discrimination Is Associated With Negative Health Impacts for Pregnant Persons and Their Children</w:t>
            </w:r>
          </w:p>
        </w:tc>
        <w:tc>
          <w:tcPr>
            <w:tcW w:w="1065" w:type="dxa"/>
            <w:tcMar>
              <w:top w:w="0" w:type="dxa"/>
              <w:left w:w="40" w:type="dxa"/>
              <w:bottom w:w="0" w:type="dxa"/>
              <w:right w:w="40" w:type="dxa"/>
            </w:tcMar>
          </w:tcPr>
          <w:p w14:paraId="51784A5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occupational and environmental medicine</w:t>
            </w:r>
          </w:p>
        </w:tc>
        <w:tc>
          <w:tcPr>
            <w:tcW w:w="1710" w:type="dxa"/>
            <w:tcMar>
              <w:top w:w="0" w:type="dxa"/>
              <w:left w:w="40" w:type="dxa"/>
              <w:bottom w:w="0" w:type="dxa"/>
              <w:right w:w="40" w:type="dxa"/>
            </w:tcMar>
          </w:tcPr>
          <w:p w14:paraId="0EC9752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Cohort Study</w:t>
            </w:r>
          </w:p>
        </w:tc>
        <w:tc>
          <w:tcPr>
            <w:tcW w:w="1110" w:type="dxa"/>
            <w:tcMar>
              <w:top w:w="0" w:type="dxa"/>
              <w:left w:w="40" w:type="dxa"/>
              <w:bottom w:w="0" w:type="dxa"/>
              <w:right w:w="40" w:type="dxa"/>
            </w:tcMar>
          </w:tcPr>
          <w:p w14:paraId="61A028D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183</w:t>
            </w:r>
          </w:p>
        </w:tc>
        <w:tc>
          <w:tcPr>
            <w:tcW w:w="4455" w:type="dxa"/>
            <w:tcMar>
              <w:top w:w="0" w:type="dxa"/>
              <w:left w:w="40" w:type="dxa"/>
              <w:bottom w:w="0" w:type="dxa"/>
              <w:right w:w="40" w:type="dxa"/>
            </w:tcMar>
          </w:tcPr>
          <w:p w14:paraId="584AB6FC"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Respondents were mostly White (57.9%), had at least a bachelor’s degree (60.8%), and worked 40.3 hr/wk. Occupational pregnancy discrimination increased the odds of clinically significant depressive/anxiety symptoms by 8% and 17%, respectively (odds ratio = 1.1, 95% confidence interval: 1.0–1.1; odds ratio = 1.2, 95% confidence interval: 1.1–1.2). Discrimination was also associated with postpar-tum depression occurrence ( P = 0.02). Social support level mitigated the association between pregnancy discriminat</w:t>
            </w:r>
            <w:r>
              <w:rPr>
                <w:rFonts w:ascii="Times New Roman" w:eastAsia="Times New Roman" w:hAnsi="Times New Roman" w:cs="Times New Roman"/>
                <w:sz w:val="18"/>
                <w:szCs w:val="18"/>
                <w:highlight w:val="white"/>
              </w:rPr>
              <w:t>ion, depressive symptoms (β = 2.1, P &lt; 0.01), and anxiety symptoms (β = 7.25, P &lt; 0.01). Conclusions: Poorer mental health during and after pregnancy was associated with occupational pregnancy discrimination but effects were mitigated by social support</w:t>
            </w:r>
          </w:p>
        </w:tc>
        <w:tc>
          <w:tcPr>
            <w:tcW w:w="1290" w:type="dxa"/>
            <w:tcBorders>
              <w:right w:val="single" w:sz="6" w:space="0" w:color="000000"/>
            </w:tcBorders>
            <w:tcMar>
              <w:top w:w="0" w:type="dxa"/>
              <w:left w:w="40" w:type="dxa"/>
              <w:bottom w:w="0" w:type="dxa"/>
              <w:right w:w="40" w:type="dxa"/>
            </w:tcMar>
          </w:tcPr>
          <w:p w14:paraId="455AD250"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Survey</w:t>
            </w:r>
          </w:p>
        </w:tc>
        <w:tc>
          <w:tcPr>
            <w:tcW w:w="1005" w:type="dxa"/>
            <w:tcMar>
              <w:top w:w="0" w:type="dxa"/>
              <w:left w:w="40" w:type="dxa"/>
              <w:bottom w:w="0" w:type="dxa"/>
              <w:right w:w="40" w:type="dxa"/>
            </w:tcMar>
          </w:tcPr>
          <w:p w14:paraId="48432F1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4DDFC986" w14:textId="77777777">
        <w:trPr>
          <w:trHeight w:val="440"/>
        </w:trPr>
        <w:tc>
          <w:tcPr>
            <w:tcW w:w="525" w:type="dxa"/>
            <w:tcMar>
              <w:top w:w="100" w:type="dxa"/>
              <w:left w:w="100" w:type="dxa"/>
              <w:bottom w:w="100" w:type="dxa"/>
              <w:right w:w="100" w:type="dxa"/>
            </w:tcMar>
          </w:tcPr>
          <w:p w14:paraId="1B291A95"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53</w:t>
            </w:r>
          </w:p>
        </w:tc>
        <w:tc>
          <w:tcPr>
            <w:tcW w:w="990" w:type="dxa"/>
            <w:tcMar>
              <w:top w:w="0" w:type="dxa"/>
              <w:left w:w="40" w:type="dxa"/>
              <w:bottom w:w="0" w:type="dxa"/>
              <w:right w:w="40" w:type="dxa"/>
            </w:tcMar>
          </w:tcPr>
          <w:p w14:paraId="12ED8E7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2023b</w:t>
            </w:r>
          </w:p>
        </w:tc>
        <w:tc>
          <w:tcPr>
            <w:tcW w:w="1110" w:type="dxa"/>
            <w:shd w:val="clear" w:color="auto" w:fill="FFFFFF"/>
            <w:tcMar>
              <w:top w:w="0" w:type="dxa"/>
              <w:left w:w="40" w:type="dxa"/>
              <w:bottom w:w="0" w:type="dxa"/>
              <w:right w:w="40" w:type="dxa"/>
            </w:tcMar>
          </w:tcPr>
          <w:p w14:paraId="3E7E1D0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Borrowman, J. D., Unke, M., Jones, M., &amp; Whitaker, K. M.</w:t>
            </w:r>
          </w:p>
        </w:tc>
        <w:tc>
          <w:tcPr>
            <w:tcW w:w="1770" w:type="dxa"/>
            <w:shd w:val="clear" w:color="auto" w:fill="FFFFFF"/>
            <w:tcMar>
              <w:top w:w="0" w:type="dxa"/>
              <w:left w:w="40" w:type="dxa"/>
              <w:bottom w:w="0" w:type="dxa"/>
              <w:right w:w="40" w:type="dxa"/>
            </w:tcMar>
          </w:tcPr>
          <w:p w14:paraId="072C742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A Qualitative Study Describing Experiences of Pregnancy Discrimination in the Workplace</w:t>
            </w:r>
          </w:p>
        </w:tc>
        <w:tc>
          <w:tcPr>
            <w:tcW w:w="1065" w:type="dxa"/>
            <w:shd w:val="clear" w:color="auto" w:fill="FFFFFF"/>
            <w:tcMar>
              <w:top w:w="0" w:type="dxa"/>
              <w:left w:w="40" w:type="dxa"/>
              <w:bottom w:w="0" w:type="dxa"/>
              <w:right w:w="40" w:type="dxa"/>
            </w:tcMar>
          </w:tcPr>
          <w:p w14:paraId="4F71CBF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color w:val="222222"/>
                <w:sz w:val="18"/>
                <w:szCs w:val="18"/>
              </w:rPr>
              <w:t>Journal of occupational and environmental medicine</w:t>
            </w:r>
          </w:p>
        </w:tc>
        <w:tc>
          <w:tcPr>
            <w:tcW w:w="1710" w:type="dxa"/>
            <w:shd w:val="clear" w:color="auto" w:fill="FFFFFF"/>
            <w:tcMar>
              <w:top w:w="0" w:type="dxa"/>
              <w:left w:w="40" w:type="dxa"/>
              <w:bottom w:w="0" w:type="dxa"/>
              <w:right w:w="40" w:type="dxa"/>
            </w:tcMar>
          </w:tcPr>
          <w:p w14:paraId="5BABD3D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shd w:val="clear" w:color="auto" w:fill="FFFFFF"/>
            <w:tcMar>
              <w:top w:w="0" w:type="dxa"/>
              <w:left w:w="40" w:type="dxa"/>
              <w:bottom w:w="0" w:type="dxa"/>
              <w:right w:w="40" w:type="dxa"/>
            </w:tcMar>
          </w:tcPr>
          <w:p w14:paraId="69EA057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20</w:t>
            </w:r>
          </w:p>
        </w:tc>
        <w:tc>
          <w:tcPr>
            <w:tcW w:w="4455" w:type="dxa"/>
            <w:shd w:val="clear" w:color="auto" w:fill="FFFFFF"/>
            <w:tcMar>
              <w:top w:w="0" w:type="dxa"/>
              <w:left w:w="40" w:type="dxa"/>
              <w:bottom w:w="0" w:type="dxa"/>
              <w:right w:w="40" w:type="dxa"/>
            </w:tcMar>
          </w:tcPr>
          <w:p w14:paraId="51E1835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Individuals successfully identified various forms of pregnancy-related discrimination, attributing it to systemic issues or perceptions of women as weak. Most did not report these experiences due to fear of retaliation or lack of awareness of workplace protections. Pregnancy discrimination manifests in multiple forms within workplaces and remains a significant issue for some pregnant employees.</w:t>
            </w:r>
          </w:p>
        </w:tc>
        <w:tc>
          <w:tcPr>
            <w:tcW w:w="1290" w:type="dxa"/>
            <w:tcMar>
              <w:top w:w="0" w:type="dxa"/>
              <w:left w:w="40" w:type="dxa"/>
              <w:bottom w:w="0" w:type="dxa"/>
              <w:right w:w="40" w:type="dxa"/>
            </w:tcMar>
          </w:tcPr>
          <w:p w14:paraId="5377C4BE" w14:textId="77777777" w:rsidR="00BC16EB" w:rsidRDefault="00BC16EB">
            <w:pPr>
              <w:widowControl w:val="0"/>
              <w:spacing w:line="480" w:lineRule="auto"/>
              <w:rPr>
                <w:rFonts w:ascii="Times New Roman" w:eastAsia="Times New Roman" w:hAnsi="Times New Roman" w:cs="Times New Roman"/>
                <w:sz w:val="18"/>
                <w:szCs w:val="18"/>
              </w:rPr>
            </w:pPr>
          </w:p>
        </w:tc>
        <w:tc>
          <w:tcPr>
            <w:tcW w:w="1005" w:type="dxa"/>
            <w:tcMar>
              <w:top w:w="0" w:type="dxa"/>
              <w:left w:w="40" w:type="dxa"/>
              <w:bottom w:w="0" w:type="dxa"/>
              <w:right w:w="40" w:type="dxa"/>
            </w:tcMar>
          </w:tcPr>
          <w:p w14:paraId="34C392B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4DD33370" w14:textId="77777777">
        <w:trPr>
          <w:trHeight w:val="440"/>
        </w:trPr>
        <w:tc>
          <w:tcPr>
            <w:tcW w:w="525" w:type="dxa"/>
            <w:tcMar>
              <w:top w:w="100" w:type="dxa"/>
              <w:left w:w="100" w:type="dxa"/>
              <w:bottom w:w="100" w:type="dxa"/>
              <w:right w:w="100" w:type="dxa"/>
            </w:tcMar>
          </w:tcPr>
          <w:p w14:paraId="1D42F41F"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p>
        </w:tc>
        <w:tc>
          <w:tcPr>
            <w:tcW w:w="990" w:type="dxa"/>
            <w:tcBorders>
              <w:left w:val="single" w:sz="6" w:space="0" w:color="000000"/>
            </w:tcBorders>
            <w:tcMar>
              <w:top w:w="0" w:type="dxa"/>
              <w:left w:w="40" w:type="dxa"/>
              <w:bottom w:w="0" w:type="dxa"/>
              <w:right w:w="40" w:type="dxa"/>
            </w:tcMar>
          </w:tcPr>
          <w:p w14:paraId="2C9C05F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Mar>
              <w:top w:w="0" w:type="dxa"/>
              <w:left w:w="40" w:type="dxa"/>
              <w:bottom w:w="0" w:type="dxa"/>
              <w:right w:w="40" w:type="dxa"/>
            </w:tcMar>
          </w:tcPr>
          <w:p w14:paraId="789D406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Day, M. A., Gil-Rivas, V., &amp; Quinlan, M. M.</w:t>
            </w:r>
          </w:p>
        </w:tc>
        <w:tc>
          <w:tcPr>
            <w:tcW w:w="1770" w:type="dxa"/>
            <w:tcMar>
              <w:top w:w="0" w:type="dxa"/>
              <w:left w:w="40" w:type="dxa"/>
              <w:bottom w:w="0" w:type="dxa"/>
              <w:right w:w="40" w:type="dxa"/>
            </w:tcMar>
          </w:tcPr>
          <w:p w14:paraId="43BD66D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“Always on parade”: Pregnancy experience of active-duty air force members</w:t>
            </w:r>
          </w:p>
        </w:tc>
        <w:tc>
          <w:tcPr>
            <w:tcW w:w="1065" w:type="dxa"/>
            <w:tcMar>
              <w:top w:w="0" w:type="dxa"/>
              <w:left w:w="40" w:type="dxa"/>
              <w:bottom w:w="0" w:type="dxa"/>
              <w:right w:w="40" w:type="dxa"/>
            </w:tcMar>
          </w:tcPr>
          <w:p w14:paraId="541E5C3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American Journal of Orthopsychiatry</w:t>
            </w:r>
          </w:p>
        </w:tc>
        <w:tc>
          <w:tcPr>
            <w:tcW w:w="1710" w:type="dxa"/>
            <w:tcMar>
              <w:top w:w="0" w:type="dxa"/>
              <w:left w:w="40" w:type="dxa"/>
              <w:bottom w:w="0" w:type="dxa"/>
              <w:right w:w="40" w:type="dxa"/>
            </w:tcMar>
          </w:tcPr>
          <w:p w14:paraId="2BC52A6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45F7E17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30</w:t>
            </w:r>
          </w:p>
        </w:tc>
        <w:tc>
          <w:tcPr>
            <w:tcW w:w="4455" w:type="dxa"/>
            <w:tcMar>
              <w:top w:w="0" w:type="dxa"/>
              <w:left w:w="40" w:type="dxa"/>
              <w:bottom w:w="0" w:type="dxa"/>
              <w:right w:w="40" w:type="dxa"/>
            </w:tcMar>
          </w:tcPr>
          <w:p w14:paraId="519199B3"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Women in the military faced pregnancy-related stigmatisation, with uniforms, physical fitness expectations, and accommodations increasing negative stereotypes. These included perceptions of being less disciplined or benefiting unfairly. To avoid such views, women engaged in covering behaviours, often at the expense of their health. Over time, their focus shifted toward personal well-being, enhancing leadership skills and improving unit morale. Despite policy advances, the military’s organisational culture r</w:t>
            </w:r>
            <w:r>
              <w:rPr>
                <w:rFonts w:ascii="Times New Roman" w:eastAsia="Times New Roman" w:hAnsi="Times New Roman" w:cs="Times New Roman"/>
                <w:sz w:val="18"/>
                <w:szCs w:val="18"/>
                <w:highlight w:val="white"/>
              </w:rPr>
              <w:t>emains a barrier to fully integrating and retaining pregnant women, highlighting the need to reduce stigma and bias.</w:t>
            </w:r>
          </w:p>
        </w:tc>
        <w:tc>
          <w:tcPr>
            <w:tcW w:w="1290" w:type="dxa"/>
            <w:tcBorders>
              <w:right w:val="single" w:sz="6" w:space="0" w:color="000000"/>
            </w:tcBorders>
            <w:tcMar>
              <w:top w:w="0" w:type="dxa"/>
              <w:left w:w="40" w:type="dxa"/>
              <w:bottom w:w="0" w:type="dxa"/>
              <w:right w:w="40" w:type="dxa"/>
            </w:tcMar>
          </w:tcPr>
          <w:p w14:paraId="59C25173"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Interview</w:t>
            </w:r>
          </w:p>
        </w:tc>
        <w:tc>
          <w:tcPr>
            <w:tcW w:w="1005" w:type="dxa"/>
            <w:tcMar>
              <w:top w:w="0" w:type="dxa"/>
              <w:left w:w="40" w:type="dxa"/>
              <w:bottom w:w="0" w:type="dxa"/>
              <w:right w:w="40" w:type="dxa"/>
            </w:tcMar>
          </w:tcPr>
          <w:p w14:paraId="0EBB986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1A967E34" w14:textId="77777777">
        <w:trPr>
          <w:trHeight w:val="440"/>
        </w:trPr>
        <w:tc>
          <w:tcPr>
            <w:tcW w:w="525" w:type="dxa"/>
            <w:tcMar>
              <w:top w:w="100" w:type="dxa"/>
              <w:left w:w="100" w:type="dxa"/>
              <w:bottom w:w="100" w:type="dxa"/>
              <w:right w:w="100" w:type="dxa"/>
            </w:tcMar>
          </w:tcPr>
          <w:p w14:paraId="3A691F1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55</w:t>
            </w:r>
          </w:p>
        </w:tc>
        <w:tc>
          <w:tcPr>
            <w:tcW w:w="990" w:type="dxa"/>
            <w:tcBorders>
              <w:left w:val="single" w:sz="6" w:space="0" w:color="000000"/>
            </w:tcBorders>
            <w:tcMar>
              <w:top w:w="0" w:type="dxa"/>
              <w:left w:w="40" w:type="dxa"/>
              <w:bottom w:w="0" w:type="dxa"/>
              <w:right w:w="40" w:type="dxa"/>
            </w:tcMar>
          </w:tcPr>
          <w:p w14:paraId="6DDB63B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Mar>
              <w:top w:w="0" w:type="dxa"/>
              <w:left w:w="40" w:type="dxa"/>
              <w:bottom w:w="0" w:type="dxa"/>
              <w:right w:w="40" w:type="dxa"/>
            </w:tcMar>
          </w:tcPr>
          <w:p w14:paraId="148C541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Hassard, J., </w:t>
            </w:r>
            <w:r>
              <w:rPr>
                <w:rFonts w:ascii="Times New Roman" w:eastAsia="Times New Roman" w:hAnsi="Times New Roman" w:cs="Times New Roman"/>
                <w:sz w:val="18"/>
                <w:szCs w:val="18"/>
              </w:rPr>
              <w:lastRenderedPageBreak/>
              <w:t>Wang, W., Delic, L. et al.</w:t>
            </w:r>
          </w:p>
        </w:tc>
        <w:tc>
          <w:tcPr>
            <w:tcW w:w="1770" w:type="dxa"/>
            <w:tcMar>
              <w:top w:w="0" w:type="dxa"/>
              <w:left w:w="40" w:type="dxa"/>
              <w:bottom w:w="0" w:type="dxa"/>
              <w:right w:w="40" w:type="dxa"/>
            </w:tcMar>
          </w:tcPr>
          <w:p w14:paraId="6681F73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Pregnancy-related </w:t>
            </w:r>
            <w:r>
              <w:rPr>
                <w:rFonts w:ascii="Times New Roman" w:eastAsia="Times New Roman" w:hAnsi="Times New Roman" w:cs="Times New Roman"/>
                <w:sz w:val="18"/>
                <w:szCs w:val="18"/>
              </w:rPr>
              <w:lastRenderedPageBreak/>
              <w:t>discrimination and expectant workers' psychological well-being and work engagement: understanding the moderating role of job resources</w:t>
            </w:r>
          </w:p>
        </w:tc>
        <w:tc>
          <w:tcPr>
            <w:tcW w:w="1065" w:type="dxa"/>
            <w:tcMar>
              <w:top w:w="0" w:type="dxa"/>
              <w:left w:w="40" w:type="dxa"/>
              <w:bottom w:w="0" w:type="dxa"/>
              <w:right w:w="40" w:type="dxa"/>
            </w:tcMar>
          </w:tcPr>
          <w:p w14:paraId="22F5565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International </w:t>
            </w:r>
            <w:r>
              <w:rPr>
                <w:rFonts w:ascii="Times New Roman" w:eastAsia="Times New Roman" w:hAnsi="Times New Roman" w:cs="Times New Roman"/>
                <w:sz w:val="18"/>
                <w:szCs w:val="18"/>
              </w:rPr>
              <w:lastRenderedPageBreak/>
              <w:t>Journal of Workplace Health Management</w:t>
            </w:r>
          </w:p>
        </w:tc>
        <w:tc>
          <w:tcPr>
            <w:tcW w:w="1710" w:type="dxa"/>
            <w:tcMar>
              <w:top w:w="0" w:type="dxa"/>
              <w:left w:w="40" w:type="dxa"/>
              <w:bottom w:w="0" w:type="dxa"/>
              <w:right w:w="40" w:type="dxa"/>
            </w:tcMar>
          </w:tcPr>
          <w:p w14:paraId="38FF0AC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Cross-sectional Study </w:t>
            </w:r>
          </w:p>
        </w:tc>
        <w:tc>
          <w:tcPr>
            <w:tcW w:w="1110" w:type="dxa"/>
            <w:tcMar>
              <w:top w:w="0" w:type="dxa"/>
              <w:left w:w="40" w:type="dxa"/>
              <w:bottom w:w="0" w:type="dxa"/>
              <w:right w:w="40" w:type="dxa"/>
            </w:tcMar>
          </w:tcPr>
          <w:p w14:paraId="2B4D115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186</w:t>
            </w:r>
          </w:p>
        </w:tc>
        <w:tc>
          <w:tcPr>
            <w:tcW w:w="4455" w:type="dxa"/>
            <w:tcMar>
              <w:top w:w="0" w:type="dxa"/>
              <w:left w:w="40" w:type="dxa"/>
              <w:bottom w:w="0" w:type="dxa"/>
              <w:right w:w="40" w:type="dxa"/>
            </w:tcMar>
          </w:tcPr>
          <w:p w14:paraId="46A008E8"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 xml:space="preserve">They observed that higher levels of pregnancy-related </w:t>
            </w:r>
            <w:r>
              <w:rPr>
                <w:rFonts w:ascii="Times New Roman" w:eastAsia="Times New Roman" w:hAnsi="Times New Roman" w:cs="Times New Roman"/>
                <w:sz w:val="18"/>
                <w:szCs w:val="18"/>
                <w:highlight w:val="white"/>
              </w:rPr>
              <w:lastRenderedPageBreak/>
              <w:t>discrimination were associated with worse psychological well-being and lower work engagement among the pregnant workers involved in the study. Perceived social support from colleagues moderated both relationships for psychological well-being (demonstrating a buffering effect) and for work engagement (an antagonistic effect). The POFS and supervisor support did not moderate this association.</w:t>
            </w:r>
          </w:p>
        </w:tc>
        <w:tc>
          <w:tcPr>
            <w:tcW w:w="1290" w:type="dxa"/>
            <w:tcBorders>
              <w:right w:val="single" w:sz="6" w:space="0" w:color="000000"/>
            </w:tcBorders>
            <w:tcMar>
              <w:top w:w="0" w:type="dxa"/>
              <w:left w:w="40" w:type="dxa"/>
              <w:bottom w:w="0" w:type="dxa"/>
              <w:right w:w="40" w:type="dxa"/>
            </w:tcMar>
          </w:tcPr>
          <w:p w14:paraId="04828A3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lastRenderedPageBreak/>
              <w:t>Online survey</w:t>
            </w:r>
          </w:p>
        </w:tc>
        <w:tc>
          <w:tcPr>
            <w:tcW w:w="1005" w:type="dxa"/>
            <w:tcMar>
              <w:top w:w="0" w:type="dxa"/>
              <w:left w:w="40" w:type="dxa"/>
              <w:bottom w:w="0" w:type="dxa"/>
              <w:right w:w="40" w:type="dxa"/>
            </w:tcMar>
          </w:tcPr>
          <w:p w14:paraId="1EFE3DD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4BA4F81D" w14:textId="77777777">
        <w:trPr>
          <w:trHeight w:val="440"/>
        </w:trPr>
        <w:tc>
          <w:tcPr>
            <w:tcW w:w="525" w:type="dxa"/>
            <w:tcMar>
              <w:top w:w="100" w:type="dxa"/>
              <w:left w:w="100" w:type="dxa"/>
              <w:bottom w:w="100" w:type="dxa"/>
              <w:right w:w="100" w:type="dxa"/>
            </w:tcMar>
          </w:tcPr>
          <w:p w14:paraId="1A744D5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56</w:t>
            </w:r>
          </w:p>
        </w:tc>
        <w:tc>
          <w:tcPr>
            <w:tcW w:w="990" w:type="dxa"/>
            <w:tcBorders>
              <w:left w:val="single" w:sz="6" w:space="0" w:color="000000"/>
            </w:tcBorders>
            <w:tcMar>
              <w:top w:w="0" w:type="dxa"/>
              <w:left w:w="40" w:type="dxa"/>
              <w:bottom w:w="0" w:type="dxa"/>
              <w:right w:w="40" w:type="dxa"/>
            </w:tcMar>
          </w:tcPr>
          <w:p w14:paraId="7AC88C4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Mar>
              <w:top w:w="0" w:type="dxa"/>
              <w:left w:w="40" w:type="dxa"/>
              <w:bottom w:w="0" w:type="dxa"/>
              <w:right w:w="40" w:type="dxa"/>
            </w:tcMar>
          </w:tcPr>
          <w:p w14:paraId="7ABB438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Morrison, L. J., Abbott, A. G., Mack, Z. et al.</w:t>
            </w:r>
          </w:p>
        </w:tc>
        <w:tc>
          <w:tcPr>
            <w:tcW w:w="1770" w:type="dxa"/>
            <w:tcMar>
              <w:top w:w="0" w:type="dxa"/>
              <w:left w:w="40" w:type="dxa"/>
              <w:bottom w:w="0" w:type="dxa"/>
              <w:right w:w="40" w:type="dxa"/>
            </w:tcMar>
          </w:tcPr>
          <w:p w14:paraId="7D1B99D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What are the challenges related to family planning, pregnancy, and parenthood faced by women in orthopaedic surgery? A systematic review</w:t>
            </w:r>
          </w:p>
        </w:tc>
        <w:tc>
          <w:tcPr>
            <w:tcW w:w="1065" w:type="dxa"/>
            <w:tcMar>
              <w:top w:w="0" w:type="dxa"/>
              <w:left w:w="40" w:type="dxa"/>
              <w:bottom w:w="0" w:type="dxa"/>
              <w:right w:w="40" w:type="dxa"/>
            </w:tcMar>
          </w:tcPr>
          <w:p w14:paraId="26E9C5A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Clinical Orthopaedics and Related Research </w:t>
            </w:r>
          </w:p>
        </w:tc>
        <w:tc>
          <w:tcPr>
            <w:tcW w:w="1710" w:type="dxa"/>
            <w:tcMar>
              <w:top w:w="0" w:type="dxa"/>
              <w:left w:w="40" w:type="dxa"/>
              <w:bottom w:w="0" w:type="dxa"/>
              <w:right w:w="40" w:type="dxa"/>
            </w:tcMar>
          </w:tcPr>
          <w:p w14:paraId="7150EEA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Systematic Review</w:t>
            </w:r>
          </w:p>
        </w:tc>
        <w:tc>
          <w:tcPr>
            <w:tcW w:w="1110" w:type="dxa"/>
            <w:tcMar>
              <w:top w:w="0" w:type="dxa"/>
              <w:left w:w="40" w:type="dxa"/>
              <w:bottom w:w="0" w:type="dxa"/>
              <w:right w:w="40" w:type="dxa"/>
            </w:tcMar>
          </w:tcPr>
          <w:p w14:paraId="48DFC1E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17</w:t>
            </w:r>
          </w:p>
        </w:tc>
        <w:tc>
          <w:tcPr>
            <w:tcW w:w="4455" w:type="dxa"/>
            <w:tcMar>
              <w:top w:w="0" w:type="dxa"/>
              <w:left w:w="40" w:type="dxa"/>
              <w:bottom w:w="0" w:type="dxa"/>
              <w:right w:w="40" w:type="dxa"/>
            </w:tcMar>
          </w:tcPr>
          <w:p w14:paraId="4B1F6B5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highlight w:val="white"/>
              </w:rPr>
              <w:t>These data revealed that many women have witnessed or experienced discrimination related to pregnancy and parenthood, at times resulting in a decision to delay family planning. In one study, childbearing was reportedly delayed by 67% of respondents (304 of 452) because of their career choice in orthopaedics. Orthopaedic surgeons were more likely to experience pregnancy complications (range 24% to 31%) than the national mean in the United States (range 13% to 17%). Lastly, despite these challenging condition</w:t>
            </w:r>
            <w:r>
              <w:rPr>
                <w:rFonts w:ascii="Times New Roman" w:eastAsia="Times New Roman" w:hAnsi="Times New Roman" w:cs="Times New Roman"/>
                <w:sz w:val="18"/>
                <w:szCs w:val="18"/>
                <w:highlight w:val="white"/>
              </w:rPr>
              <w:t xml:space="preserve">s, there was often limited support for women who had or wished to start a family during their orthopaedic surgery career. Maternity and parental leave policies varied across </w:t>
            </w:r>
            <w:r>
              <w:rPr>
                <w:rFonts w:ascii="Times New Roman" w:eastAsia="Times New Roman" w:hAnsi="Times New Roman" w:cs="Times New Roman"/>
                <w:sz w:val="18"/>
                <w:szCs w:val="18"/>
                <w:highlight w:val="white"/>
              </w:rPr>
              <w:lastRenderedPageBreak/>
              <w:t>training institutions, and only 55% (56 of 102) of training programs in the United States offered parental leave beyond standard vacation time.</w:t>
            </w:r>
          </w:p>
        </w:tc>
        <w:tc>
          <w:tcPr>
            <w:tcW w:w="1290" w:type="dxa"/>
            <w:tcBorders>
              <w:right w:val="single" w:sz="6" w:space="0" w:color="000000"/>
            </w:tcBorders>
            <w:tcMar>
              <w:top w:w="0" w:type="dxa"/>
              <w:left w:w="40" w:type="dxa"/>
              <w:bottom w:w="0" w:type="dxa"/>
              <w:right w:w="40" w:type="dxa"/>
            </w:tcMar>
          </w:tcPr>
          <w:p w14:paraId="0F6635C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Prisma</w:t>
            </w:r>
          </w:p>
        </w:tc>
        <w:tc>
          <w:tcPr>
            <w:tcW w:w="1005" w:type="dxa"/>
            <w:tcMar>
              <w:top w:w="0" w:type="dxa"/>
              <w:left w:w="40" w:type="dxa"/>
              <w:bottom w:w="0" w:type="dxa"/>
              <w:right w:w="40" w:type="dxa"/>
            </w:tcMar>
          </w:tcPr>
          <w:p w14:paraId="5F293A0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Canada</w:t>
            </w:r>
          </w:p>
        </w:tc>
      </w:tr>
      <w:tr w:rsidR="00BC16EB" w14:paraId="52E43ACF" w14:textId="77777777">
        <w:trPr>
          <w:trHeight w:val="440"/>
        </w:trPr>
        <w:tc>
          <w:tcPr>
            <w:tcW w:w="525" w:type="dxa"/>
            <w:tcMar>
              <w:top w:w="100" w:type="dxa"/>
              <w:left w:w="100" w:type="dxa"/>
              <w:bottom w:w="100" w:type="dxa"/>
              <w:right w:w="100" w:type="dxa"/>
            </w:tcMar>
          </w:tcPr>
          <w:p w14:paraId="12CF3FE3"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57</w:t>
            </w:r>
          </w:p>
        </w:tc>
        <w:tc>
          <w:tcPr>
            <w:tcW w:w="990" w:type="dxa"/>
            <w:tcBorders>
              <w:left w:val="single" w:sz="6" w:space="0" w:color="000000"/>
            </w:tcBorders>
            <w:tcMar>
              <w:top w:w="0" w:type="dxa"/>
              <w:left w:w="40" w:type="dxa"/>
              <w:bottom w:w="0" w:type="dxa"/>
              <w:right w:w="40" w:type="dxa"/>
            </w:tcMar>
          </w:tcPr>
          <w:p w14:paraId="33D2A8A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Mar>
              <w:top w:w="0" w:type="dxa"/>
              <w:left w:w="40" w:type="dxa"/>
              <w:bottom w:w="0" w:type="dxa"/>
              <w:right w:w="40" w:type="dxa"/>
            </w:tcMar>
          </w:tcPr>
          <w:p w14:paraId="339CE98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Steiner-Hofbauer, V., Katz, H. W., Grundnig, J. S. et al. </w:t>
            </w:r>
          </w:p>
        </w:tc>
        <w:tc>
          <w:tcPr>
            <w:tcW w:w="1770" w:type="dxa"/>
            <w:tcMar>
              <w:top w:w="0" w:type="dxa"/>
              <w:left w:w="40" w:type="dxa"/>
              <w:bottom w:w="0" w:type="dxa"/>
              <w:right w:w="40" w:type="dxa"/>
            </w:tcMar>
          </w:tcPr>
          <w:p w14:paraId="25B8D31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Female participation or “feminization” of medicine</w:t>
            </w:r>
          </w:p>
        </w:tc>
        <w:tc>
          <w:tcPr>
            <w:tcW w:w="1065" w:type="dxa"/>
            <w:tcMar>
              <w:top w:w="0" w:type="dxa"/>
              <w:left w:w="40" w:type="dxa"/>
              <w:bottom w:w="0" w:type="dxa"/>
              <w:right w:w="40" w:type="dxa"/>
            </w:tcMar>
          </w:tcPr>
          <w:p w14:paraId="3E86DF6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Wiener medizinische wochenschrift</w:t>
            </w:r>
          </w:p>
        </w:tc>
        <w:tc>
          <w:tcPr>
            <w:tcW w:w="1710" w:type="dxa"/>
            <w:tcMar>
              <w:top w:w="0" w:type="dxa"/>
              <w:left w:w="40" w:type="dxa"/>
              <w:bottom w:w="0" w:type="dxa"/>
              <w:right w:w="40" w:type="dxa"/>
            </w:tcMar>
          </w:tcPr>
          <w:p w14:paraId="5735B8F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p w14:paraId="430635FF" w14:textId="77777777" w:rsidR="00BC16EB" w:rsidRDefault="00BC16EB">
            <w:pPr>
              <w:widowControl w:val="0"/>
              <w:spacing w:line="480" w:lineRule="auto"/>
              <w:rPr>
                <w:rFonts w:ascii="Times New Roman" w:eastAsia="Times New Roman" w:hAnsi="Times New Roman" w:cs="Times New Roman"/>
                <w:sz w:val="18"/>
                <w:szCs w:val="18"/>
              </w:rPr>
            </w:pPr>
          </w:p>
        </w:tc>
        <w:tc>
          <w:tcPr>
            <w:tcW w:w="1110" w:type="dxa"/>
            <w:tcMar>
              <w:top w:w="0" w:type="dxa"/>
              <w:left w:w="40" w:type="dxa"/>
              <w:bottom w:w="0" w:type="dxa"/>
              <w:right w:w="40" w:type="dxa"/>
            </w:tcMar>
          </w:tcPr>
          <w:p w14:paraId="6052560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 specified</w:t>
            </w:r>
          </w:p>
        </w:tc>
        <w:tc>
          <w:tcPr>
            <w:tcW w:w="4455" w:type="dxa"/>
            <w:tcMar>
              <w:top w:w="0" w:type="dxa"/>
              <w:left w:w="40" w:type="dxa"/>
              <w:bottom w:w="0" w:type="dxa"/>
              <w:right w:w="40" w:type="dxa"/>
            </w:tcMar>
          </w:tcPr>
          <w:p w14:paraId="51BBDF1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Despite a growing number of women entering the medical profession, their career advancement remains hindered by factors such as motherhood, gender bias, and a lack of role models. In Austria, women occupy only 30% of professor roles and 11.9% of chief physician positions. Enhancing work-life balance and fostering diverse teams are essential for attracting and retaining talent, ultimately benefiting patient care and innovation in the medical field. Future generations are expected to prioritise fulfilment bey</w:t>
            </w:r>
            <w:r>
              <w:rPr>
                <w:rFonts w:ascii="Times New Roman" w:eastAsia="Times New Roman" w:hAnsi="Times New Roman" w:cs="Times New Roman"/>
                <w:sz w:val="18"/>
                <w:szCs w:val="18"/>
              </w:rPr>
              <w:t>ond work.</w:t>
            </w:r>
          </w:p>
        </w:tc>
        <w:tc>
          <w:tcPr>
            <w:tcW w:w="1290" w:type="dxa"/>
            <w:tcBorders>
              <w:right w:val="single" w:sz="6" w:space="0" w:color="000000"/>
            </w:tcBorders>
            <w:tcMar>
              <w:top w:w="0" w:type="dxa"/>
              <w:left w:w="40" w:type="dxa"/>
              <w:bottom w:w="0" w:type="dxa"/>
              <w:right w:w="40" w:type="dxa"/>
            </w:tcMar>
          </w:tcPr>
          <w:p w14:paraId="2F6AD2F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Descriptive</w:t>
            </w:r>
          </w:p>
        </w:tc>
        <w:tc>
          <w:tcPr>
            <w:tcW w:w="1005" w:type="dxa"/>
            <w:tcMar>
              <w:top w:w="0" w:type="dxa"/>
              <w:left w:w="40" w:type="dxa"/>
              <w:bottom w:w="0" w:type="dxa"/>
              <w:right w:w="40" w:type="dxa"/>
            </w:tcMar>
          </w:tcPr>
          <w:p w14:paraId="302D3F5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Austria</w:t>
            </w:r>
          </w:p>
        </w:tc>
      </w:tr>
      <w:tr w:rsidR="00BC16EB" w14:paraId="08114ADD" w14:textId="77777777">
        <w:trPr>
          <w:trHeight w:val="440"/>
        </w:trPr>
        <w:tc>
          <w:tcPr>
            <w:tcW w:w="525" w:type="dxa"/>
            <w:tcMar>
              <w:top w:w="100" w:type="dxa"/>
              <w:left w:w="100" w:type="dxa"/>
              <w:bottom w:w="100" w:type="dxa"/>
              <w:right w:w="100" w:type="dxa"/>
            </w:tcMar>
          </w:tcPr>
          <w:p w14:paraId="18B0EC3F"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58</w:t>
            </w:r>
          </w:p>
        </w:tc>
        <w:tc>
          <w:tcPr>
            <w:tcW w:w="990" w:type="dxa"/>
            <w:tcBorders>
              <w:left w:val="single" w:sz="6" w:space="0" w:color="000000"/>
            </w:tcBorders>
            <w:tcMar>
              <w:top w:w="0" w:type="dxa"/>
              <w:left w:w="40" w:type="dxa"/>
              <w:bottom w:w="0" w:type="dxa"/>
              <w:right w:w="40" w:type="dxa"/>
            </w:tcMar>
          </w:tcPr>
          <w:p w14:paraId="5663E69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Mar>
              <w:top w:w="0" w:type="dxa"/>
              <w:left w:w="40" w:type="dxa"/>
              <w:bottom w:w="0" w:type="dxa"/>
              <w:right w:w="40" w:type="dxa"/>
            </w:tcMar>
          </w:tcPr>
          <w:p w14:paraId="5191B6B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Wang, P., &amp; Chen, J. </w:t>
            </w:r>
          </w:p>
        </w:tc>
        <w:tc>
          <w:tcPr>
            <w:tcW w:w="1770" w:type="dxa"/>
            <w:tcMar>
              <w:top w:w="0" w:type="dxa"/>
              <w:left w:w="40" w:type="dxa"/>
              <w:bottom w:w="0" w:type="dxa"/>
              <w:right w:w="40" w:type="dxa"/>
            </w:tcMar>
          </w:tcPr>
          <w:p w14:paraId="5E1BB3D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Fertility‐based employment discrimination and family policy: Evidence from a field experiment </w:t>
            </w:r>
          </w:p>
        </w:tc>
        <w:tc>
          <w:tcPr>
            <w:tcW w:w="1065" w:type="dxa"/>
            <w:tcMar>
              <w:top w:w="0" w:type="dxa"/>
              <w:left w:w="40" w:type="dxa"/>
              <w:bottom w:w="0" w:type="dxa"/>
              <w:right w:w="40" w:type="dxa"/>
            </w:tcMar>
          </w:tcPr>
          <w:p w14:paraId="67CE463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Social Policy &amp; Administration</w:t>
            </w:r>
          </w:p>
        </w:tc>
        <w:tc>
          <w:tcPr>
            <w:tcW w:w="1710" w:type="dxa"/>
            <w:tcMar>
              <w:top w:w="0" w:type="dxa"/>
              <w:left w:w="40" w:type="dxa"/>
              <w:bottom w:w="0" w:type="dxa"/>
              <w:right w:w="40" w:type="dxa"/>
            </w:tcMar>
          </w:tcPr>
          <w:p w14:paraId="6F69B93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Mar>
              <w:top w:w="0" w:type="dxa"/>
              <w:left w:w="40" w:type="dxa"/>
              <w:bottom w:w="0" w:type="dxa"/>
              <w:right w:w="40" w:type="dxa"/>
            </w:tcMar>
          </w:tcPr>
          <w:p w14:paraId="45F4A85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540</w:t>
            </w:r>
          </w:p>
        </w:tc>
        <w:tc>
          <w:tcPr>
            <w:tcW w:w="4455" w:type="dxa"/>
            <w:tcMar>
              <w:top w:w="0" w:type="dxa"/>
              <w:left w:w="40" w:type="dxa"/>
              <w:bottom w:w="0" w:type="dxa"/>
              <w:right w:w="40" w:type="dxa"/>
            </w:tcMar>
          </w:tcPr>
          <w:p w14:paraId="55EACE3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findings of our experiment reveal that the disclosure of fertility status for childfree women in resumes significantly reduces their likelihood of receiving callbacks from real employers, as compared to resumes of women with children, by 26.7%. Generous maternity leave policies may encourage discrimination towards childfree women who are of fertile age in non-mother-friendly occupation. The </w:t>
            </w:r>
            <w:r>
              <w:rPr>
                <w:rFonts w:ascii="Times New Roman" w:eastAsia="Times New Roman" w:hAnsi="Times New Roman" w:cs="Times New Roman"/>
                <w:sz w:val="18"/>
                <w:szCs w:val="18"/>
              </w:rPr>
              <w:lastRenderedPageBreak/>
              <w:t xml:space="preserve">employment discrimination affects women who have the potential to become mothers. </w:t>
            </w:r>
          </w:p>
        </w:tc>
        <w:tc>
          <w:tcPr>
            <w:tcW w:w="1290" w:type="dxa"/>
            <w:tcBorders>
              <w:right w:val="single" w:sz="6" w:space="0" w:color="000000"/>
            </w:tcBorders>
            <w:tcMar>
              <w:top w:w="0" w:type="dxa"/>
              <w:left w:w="40" w:type="dxa"/>
              <w:bottom w:w="0" w:type="dxa"/>
              <w:right w:w="40" w:type="dxa"/>
            </w:tcMar>
          </w:tcPr>
          <w:p w14:paraId="2BF6388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experimental methods - resume audits</w:t>
            </w:r>
          </w:p>
          <w:p w14:paraId="1FE34206" w14:textId="77777777" w:rsidR="00BC16EB" w:rsidRDefault="00BC16EB">
            <w:pPr>
              <w:widowControl w:val="0"/>
              <w:spacing w:line="480" w:lineRule="auto"/>
              <w:rPr>
                <w:rFonts w:ascii="Times New Roman" w:eastAsia="Times New Roman" w:hAnsi="Times New Roman" w:cs="Times New Roman"/>
                <w:sz w:val="18"/>
                <w:szCs w:val="18"/>
              </w:rPr>
            </w:pPr>
          </w:p>
        </w:tc>
        <w:tc>
          <w:tcPr>
            <w:tcW w:w="1005" w:type="dxa"/>
            <w:tcMar>
              <w:top w:w="0" w:type="dxa"/>
              <w:left w:w="40" w:type="dxa"/>
              <w:bottom w:w="0" w:type="dxa"/>
              <w:right w:w="40" w:type="dxa"/>
            </w:tcMar>
          </w:tcPr>
          <w:p w14:paraId="6C68B5B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China</w:t>
            </w:r>
          </w:p>
        </w:tc>
      </w:tr>
      <w:tr w:rsidR="00BC16EB" w14:paraId="7D8E3526" w14:textId="77777777">
        <w:trPr>
          <w:trHeight w:val="440"/>
        </w:trPr>
        <w:tc>
          <w:tcPr>
            <w:tcW w:w="525" w:type="dxa"/>
            <w:tcMar>
              <w:top w:w="100" w:type="dxa"/>
              <w:left w:w="100" w:type="dxa"/>
              <w:bottom w:w="100" w:type="dxa"/>
              <w:right w:w="100" w:type="dxa"/>
            </w:tcMar>
          </w:tcPr>
          <w:p w14:paraId="1A71B81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59</w:t>
            </w:r>
          </w:p>
        </w:tc>
        <w:tc>
          <w:tcPr>
            <w:tcW w:w="990" w:type="dxa"/>
            <w:tcBorders>
              <w:left w:val="single" w:sz="6" w:space="0" w:color="000000"/>
            </w:tcBorders>
            <w:tcMar>
              <w:top w:w="0" w:type="dxa"/>
              <w:left w:w="40" w:type="dxa"/>
              <w:bottom w:w="0" w:type="dxa"/>
              <w:right w:w="40" w:type="dxa"/>
            </w:tcMar>
          </w:tcPr>
          <w:p w14:paraId="17B0CA0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Mar>
              <w:top w:w="0" w:type="dxa"/>
              <w:left w:w="40" w:type="dxa"/>
              <w:bottom w:w="0" w:type="dxa"/>
              <w:right w:w="40" w:type="dxa"/>
            </w:tcMar>
          </w:tcPr>
          <w:p w14:paraId="7442A5A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Ziegler, Y., Graml, R., Uli, V. et al. </w:t>
            </w:r>
          </w:p>
        </w:tc>
        <w:tc>
          <w:tcPr>
            <w:tcW w:w="1770" w:type="dxa"/>
            <w:tcMar>
              <w:top w:w="0" w:type="dxa"/>
              <w:left w:w="40" w:type="dxa"/>
              <w:bottom w:w="0" w:type="dxa"/>
              <w:right w:w="40" w:type="dxa"/>
            </w:tcMar>
          </w:tcPr>
          <w:p w14:paraId="3BD9422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Motherhood Gap and Employer Discrimination. A Qualitative Investigation in the German Context</w:t>
            </w:r>
          </w:p>
        </w:tc>
        <w:tc>
          <w:tcPr>
            <w:tcW w:w="1065" w:type="dxa"/>
            <w:tcMar>
              <w:top w:w="0" w:type="dxa"/>
              <w:left w:w="40" w:type="dxa"/>
              <w:bottom w:w="0" w:type="dxa"/>
              <w:right w:w="40" w:type="dxa"/>
            </w:tcMar>
          </w:tcPr>
          <w:p w14:paraId="18CC517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Organizacija</w:t>
            </w:r>
          </w:p>
        </w:tc>
        <w:tc>
          <w:tcPr>
            <w:tcW w:w="1710" w:type="dxa"/>
            <w:tcMar>
              <w:top w:w="0" w:type="dxa"/>
              <w:left w:w="40" w:type="dxa"/>
              <w:bottom w:w="0" w:type="dxa"/>
              <w:right w:w="40" w:type="dxa"/>
            </w:tcMar>
          </w:tcPr>
          <w:p w14:paraId="715D7CD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2A8B630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2.130 </w:t>
            </w:r>
          </w:p>
        </w:tc>
        <w:tc>
          <w:tcPr>
            <w:tcW w:w="4455" w:type="dxa"/>
            <w:tcMar>
              <w:top w:w="0" w:type="dxa"/>
              <w:left w:w="40" w:type="dxa"/>
              <w:bottom w:w="0" w:type="dxa"/>
              <w:right w:w="40" w:type="dxa"/>
            </w:tcMar>
          </w:tcPr>
          <w:p w14:paraId="4062E76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Findings reveal that many mothers faced negative outcomes upon returning from maternity leave, including being reassigned to roles that did not match their qualifications. Perceived bias from employers often led to exclusion from promotions and salary increases, with many experiencing a traumatic re-entry into the workforce. As a result, some mothers opted to resign in pursuit of better work-life balance. The results highlight the urgent need for organizational reforms to address discrimination and support </w:t>
            </w:r>
            <w:r>
              <w:rPr>
                <w:rFonts w:ascii="Times New Roman" w:eastAsia="Times New Roman" w:hAnsi="Times New Roman" w:cs="Times New Roman"/>
                <w:sz w:val="18"/>
                <w:szCs w:val="18"/>
              </w:rPr>
              <w:t>the career advancement of working mothers.</w:t>
            </w:r>
          </w:p>
        </w:tc>
        <w:tc>
          <w:tcPr>
            <w:tcW w:w="1290" w:type="dxa"/>
            <w:tcBorders>
              <w:right w:val="single" w:sz="6" w:space="0" w:color="000000"/>
            </w:tcBorders>
            <w:tcMar>
              <w:top w:w="0" w:type="dxa"/>
              <w:left w:w="40" w:type="dxa"/>
              <w:bottom w:w="0" w:type="dxa"/>
              <w:right w:w="40" w:type="dxa"/>
            </w:tcMar>
          </w:tcPr>
          <w:p w14:paraId="2D54F8F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Collection of testimonies and cases (quotes from mothers)- inductive coding strategy</w:t>
            </w:r>
          </w:p>
          <w:p w14:paraId="2FDF262B" w14:textId="77777777" w:rsidR="00BC16EB" w:rsidRDefault="00BC16EB">
            <w:pPr>
              <w:widowControl w:val="0"/>
              <w:spacing w:line="480" w:lineRule="auto"/>
              <w:rPr>
                <w:rFonts w:ascii="Times New Roman" w:eastAsia="Times New Roman" w:hAnsi="Times New Roman" w:cs="Times New Roman"/>
                <w:sz w:val="18"/>
                <w:szCs w:val="18"/>
              </w:rPr>
            </w:pPr>
          </w:p>
        </w:tc>
        <w:tc>
          <w:tcPr>
            <w:tcW w:w="1005" w:type="dxa"/>
            <w:tcMar>
              <w:top w:w="0" w:type="dxa"/>
              <w:left w:w="40" w:type="dxa"/>
              <w:bottom w:w="0" w:type="dxa"/>
              <w:right w:w="40" w:type="dxa"/>
            </w:tcMar>
          </w:tcPr>
          <w:p w14:paraId="1EC819B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Germany</w:t>
            </w:r>
          </w:p>
        </w:tc>
      </w:tr>
      <w:tr w:rsidR="00BC16EB" w14:paraId="41A42D3C" w14:textId="77777777">
        <w:trPr>
          <w:trHeight w:val="440"/>
        </w:trPr>
        <w:tc>
          <w:tcPr>
            <w:tcW w:w="525" w:type="dxa"/>
            <w:tcMar>
              <w:top w:w="100" w:type="dxa"/>
              <w:left w:w="100" w:type="dxa"/>
              <w:bottom w:w="100" w:type="dxa"/>
              <w:right w:w="100" w:type="dxa"/>
            </w:tcMar>
          </w:tcPr>
          <w:p w14:paraId="5399E632"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220DB8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2024</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192182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Fitzpatrick, K., &amp; Sweet, B.</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CB4F7F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Motherhood in the music academy</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599A53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Research in Music Education</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264B4D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C7B091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early-career (assistant professors), 2 mid-career (associate professors), 2 late-career (full </w:t>
            </w:r>
            <w:r>
              <w:rPr>
                <w:rFonts w:ascii="Times New Roman" w:eastAsia="Times New Roman" w:hAnsi="Times New Roman" w:cs="Times New Roman"/>
                <w:sz w:val="18"/>
                <w:szCs w:val="18"/>
              </w:rPr>
              <w:lastRenderedPageBreak/>
              <w:t xml:space="preserve">professors) female-identifying music faculty. </w:t>
            </w:r>
          </w:p>
          <w:p w14:paraId="67191896" w14:textId="77777777" w:rsidR="00BC16EB" w:rsidRDefault="00BC16EB">
            <w:pPr>
              <w:widowControl w:val="0"/>
              <w:spacing w:line="480" w:lineRule="auto"/>
              <w:rPr>
                <w:rFonts w:ascii="Times New Roman" w:eastAsia="Times New Roman" w:hAnsi="Times New Roman" w:cs="Times New Roman"/>
                <w:sz w:val="18"/>
                <w:szCs w:val="18"/>
              </w:rPr>
            </w:pP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8D1332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The analysis revealed </w:t>
            </w:r>
          </w:p>
          <w:p w14:paraId="1CA3E79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three significant themes regarding the experiences of faculty mothers in music academies. The first theme, “Living Within Two Worlds”, highlights the challenges of balancing parenthood and academic responsibilities. The second theme, “Motherhood and Gender Equity”, addresses the gendered nature of motherhood, including workplace discrimination. The final theme, “Navigating the Academic </w:t>
            </w:r>
            <w:r>
              <w:rPr>
                <w:rFonts w:ascii="Times New Roman" w:eastAsia="Times New Roman" w:hAnsi="Times New Roman" w:cs="Times New Roman"/>
                <w:sz w:val="18"/>
                <w:szCs w:val="18"/>
              </w:rPr>
              <w:lastRenderedPageBreak/>
              <w:t>World,” focuses on challenges related to tenure, perceived lack of support, and financial implications of their dual roles. The study suggests further research and practical strategies to enhance support for faculty mothers.</w:t>
            </w:r>
          </w:p>
        </w:tc>
        <w:tc>
          <w:tcPr>
            <w:tcW w:w="1290" w:type="dxa"/>
            <w:tcBorders>
              <w:left w:val="single" w:sz="6" w:space="0" w:color="000000"/>
              <w:right w:val="single" w:sz="6" w:space="0" w:color="000000"/>
            </w:tcBorders>
            <w:tcMar>
              <w:top w:w="0" w:type="dxa"/>
              <w:left w:w="40" w:type="dxa"/>
              <w:bottom w:w="0" w:type="dxa"/>
              <w:right w:w="40" w:type="dxa"/>
            </w:tcMar>
          </w:tcPr>
          <w:p w14:paraId="56F73FF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Multiple critical case study approach</w:t>
            </w:r>
          </w:p>
          <w:p w14:paraId="665E2A4B" w14:textId="77777777" w:rsidR="00BC16EB" w:rsidRDefault="00BC16EB">
            <w:pPr>
              <w:widowControl w:val="0"/>
              <w:spacing w:line="480" w:lineRule="auto"/>
              <w:rPr>
                <w:rFonts w:ascii="Times New Roman" w:eastAsia="Times New Roman" w:hAnsi="Times New Roman" w:cs="Times New Roman"/>
                <w:sz w:val="18"/>
                <w:szCs w:val="18"/>
              </w:rPr>
            </w:pP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5895C3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0FEA359B" w14:textId="77777777">
        <w:trPr>
          <w:trHeight w:val="440"/>
        </w:trPr>
        <w:tc>
          <w:tcPr>
            <w:tcW w:w="525" w:type="dxa"/>
            <w:tcMar>
              <w:top w:w="100" w:type="dxa"/>
              <w:left w:w="100" w:type="dxa"/>
              <w:bottom w:w="100" w:type="dxa"/>
              <w:right w:w="100" w:type="dxa"/>
            </w:tcMar>
          </w:tcPr>
          <w:p w14:paraId="52681C8E"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61</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F1C518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2024</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C71392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Gasior, A. C., Bergus, K. C., Beeler, W. H., Xi, A. S., &amp; Rialon, K. L. </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EAA908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in medical training: a survey of physician moms on their experiences during residency and fellowship</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07701D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Journal of Surgical Education</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08DEEB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p w14:paraId="200CC8D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58297F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1690</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E0C6B6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Physician mothers frequently faced discrimination, with many working until delivery despite health concerns. Over half reported job-related physical demands affecting their health, and 29% experienced postpartum depression. Most lacked a parental leave policy, leading to dissatisfaction with time off. A significant proportion experienced pregnancy-related complications and marital distress. Many also had difficulties continuing breastfeeding for over 12 months. These challenges highlight the need for improv</w:t>
            </w:r>
            <w:r>
              <w:rPr>
                <w:rFonts w:ascii="Times New Roman" w:eastAsia="Times New Roman" w:hAnsi="Times New Roman" w:cs="Times New Roman"/>
                <w:sz w:val="18"/>
                <w:szCs w:val="18"/>
              </w:rPr>
              <w:t>ed parental leave policies to enhance mental health, job satisfaction, and retention of physician mothers.</w:t>
            </w:r>
          </w:p>
        </w:tc>
        <w:tc>
          <w:tcPr>
            <w:tcW w:w="1290" w:type="dxa"/>
            <w:tcBorders>
              <w:left w:val="single" w:sz="6" w:space="0" w:color="000000"/>
              <w:right w:val="single" w:sz="6" w:space="0" w:color="000000"/>
            </w:tcBorders>
            <w:tcMar>
              <w:top w:w="0" w:type="dxa"/>
              <w:left w:w="40" w:type="dxa"/>
              <w:bottom w:w="0" w:type="dxa"/>
              <w:right w:w="40" w:type="dxa"/>
            </w:tcMar>
          </w:tcPr>
          <w:p w14:paraId="5D80CFE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1B5362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3B36C55E" w14:textId="77777777">
        <w:trPr>
          <w:trHeight w:val="440"/>
        </w:trPr>
        <w:tc>
          <w:tcPr>
            <w:tcW w:w="525" w:type="dxa"/>
            <w:tcMar>
              <w:top w:w="100" w:type="dxa"/>
              <w:left w:w="100" w:type="dxa"/>
              <w:bottom w:w="100" w:type="dxa"/>
              <w:right w:w="100" w:type="dxa"/>
            </w:tcMar>
          </w:tcPr>
          <w:p w14:paraId="271735D4"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62</w:t>
            </w:r>
          </w:p>
        </w:tc>
        <w:tc>
          <w:tcPr>
            <w:tcW w:w="990" w:type="dxa"/>
            <w:tcBorders>
              <w:left w:val="single" w:sz="6" w:space="0" w:color="000000"/>
            </w:tcBorders>
            <w:tcMar>
              <w:top w:w="0" w:type="dxa"/>
              <w:left w:w="40" w:type="dxa"/>
              <w:bottom w:w="0" w:type="dxa"/>
              <w:right w:w="40" w:type="dxa"/>
            </w:tcMar>
          </w:tcPr>
          <w:p w14:paraId="4078DA8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2024</w:t>
            </w:r>
          </w:p>
        </w:tc>
        <w:tc>
          <w:tcPr>
            <w:tcW w:w="1110" w:type="dxa"/>
            <w:tcMar>
              <w:top w:w="0" w:type="dxa"/>
              <w:left w:w="40" w:type="dxa"/>
              <w:bottom w:w="0" w:type="dxa"/>
              <w:right w:w="40" w:type="dxa"/>
            </w:tcMar>
          </w:tcPr>
          <w:p w14:paraId="77648F6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Gatrell, C., Ladge, J. J., &amp; Powell, G. N.</w:t>
            </w:r>
          </w:p>
        </w:tc>
        <w:tc>
          <w:tcPr>
            <w:tcW w:w="1770" w:type="dxa"/>
            <w:tcMar>
              <w:top w:w="0" w:type="dxa"/>
              <w:left w:w="40" w:type="dxa"/>
              <w:bottom w:w="0" w:type="dxa"/>
              <w:right w:w="40" w:type="dxa"/>
            </w:tcMar>
          </w:tcPr>
          <w:p w14:paraId="67DEA09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Profane Pregnant Bodies Versus Sacred Organisational Systems: Exploring </w:t>
            </w:r>
            <w:r>
              <w:rPr>
                <w:rFonts w:ascii="Times New Roman" w:eastAsia="Times New Roman" w:hAnsi="Times New Roman" w:cs="Times New Roman"/>
                <w:sz w:val="18"/>
                <w:szCs w:val="18"/>
              </w:rPr>
              <w:lastRenderedPageBreak/>
              <w:t xml:space="preserve">Pregnancy Discrimination at Work (R2). </w:t>
            </w:r>
          </w:p>
        </w:tc>
        <w:tc>
          <w:tcPr>
            <w:tcW w:w="1065" w:type="dxa"/>
            <w:tcMar>
              <w:top w:w="0" w:type="dxa"/>
              <w:left w:w="40" w:type="dxa"/>
              <w:bottom w:w="0" w:type="dxa"/>
              <w:right w:w="40" w:type="dxa"/>
            </w:tcMar>
          </w:tcPr>
          <w:p w14:paraId="62C374A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Journal of Business Ethics</w:t>
            </w:r>
          </w:p>
        </w:tc>
        <w:tc>
          <w:tcPr>
            <w:tcW w:w="1710" w:type="dxa"/>
            <w:tcMar>
              <w:top w:w="0" w:type="dxa"/>
              <w:left w:w="40" w:type="dxa"/>
              <w:bottom w:w="0" w:type="dxa"/>
              <w:right w:w="40" w:type="dxa"/>
            </w:tcMar>
          </w:tcPr>
          <w:p w14:paraId="7F5E320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Mar>
              <w:top w:w="0" w:type="dxa"/>
              <w:left w:w="40" w:type="dxa"/>
              <w:bottom w:w="0" w:type="dxa"/>
              <w:right w:w="40" w:type="dxa"/>
            </w:tcMar>
          </w:tcPr>
          <w:p w14:paraId="5BB24C2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109</w:t>
            </w:r>
          </w:p>
        </w:tc>
        <w:tc>
          <w:tcPr>
            <w:tcW w:w="4455" w:type="dxa"/>
            <w:tcMar>
              <w:top w:w="0" w:type="dxa"/>
              <w:left w:w="40" w:type="dxa"/>
              <w:bottom w:w="0" w:type="dxa"/>
              <w:right w:w="40" w:type="dxa"/>
            </w:tcMar>
          </w:tcPr>
          <w:p w14:paraId="62212A25"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t xml:space="preserve">Our findings show how pregnant workers are expected to conform with workplace systems that are treated as sacred. We suggest that employer valorization of the mythical figure of ‘ideal worker’ disadvantages pregnant workers. </w:t>
            </w:r>
            <w:r>
              <w:rPr>
                <w:rFonts w:ascii="Times New Roman" w:eastAsia="Times New Roman" w:hAnsi="Times New Roman" w:cs="Times New Roman"/>
                <w:sz w:val="18"/>
                <w:szCs w:val="18"/>
                <w:highlight w:val="white"/>
              </w:rPr>
              <w:lastRenderedPageBreak/>
              <w:t>We observe how, even if this contravenes maternity protection laws, some employers self-justify discrimination against pregnant employees who they perceive to have transgressed ‘appropriate’ workplace behaviours as ethical and reasonable. To illuminate and conceptualise the notion of transgression, our analysis has led us to the ideas of philosopher Georges Bataille, specifically his reflections on how individuals who ‘transgress’ social norms are treated as taboo, as well as his metaphorical descriptions o</w:t>
            </w:r>
            <w:r>
              <w:rPr>
                <w:rFonts w:ascii="Times New Roman" w:eastAsia="Times New Roman" w:hAnsi="Times New Roman" w:cs="Times New Roman"/>
                <w:sz w:val="18"/>
                <w:szCs w:val="18"/>
                <w:highlight w:val="white"/>
              </w:rPr>
              <w:t>f people and practices as either sacred or profane. We theorise that pregnant workers who are treated as profane should be reclassified as sacred, opening up this idea for debate so as to disrupt long-standing patterns of discrimination.</w:t>
            </w:r>
          </w:p>
        </w:tc>
        <w:tc>
          <w:tcPr>
            <w:tcW w:w="1290" w:type="dxa"/>
            <w:tcBorders>
              <w:right w:val="single" w:sz="6" w:space="0" w:color="000000"/>
            </w:tcBorders>
            <w:tcMar>
              <w:top w:w="0" w:type="dxa"/>
              <w:left w:w="40" w:type="dxa"/>
              <w:bottom w:w="0" w:type="dxa"/>
              <w:right w:w="40" w:type="dxa"/>
            </w:tcMar>
          </w:tcPr>
          <w:p w14:paraId="2D5AB871" w14:textId="77777777" w:rsidR="00BC16EB" w:rsidRDefault="005714A1">
            <w:pPr>
              <w:widowControl w:val="0"/>
              <w:spacing w:line="480" w:lineRule="auto"/>
              <w:rPr>
                <w:rFonts w:ascii="Times New Roman" w:eastAsia="Times New Roman" w:hAnsi="Times New Roman" w:cs="Times New Roman"/>
                <w:sz w:val="18"/>
                <w:szCs w:val="18"/>
                <w:highlight w:val="white"/>
              </w:rPr>
            </w:pPr>
            <w:r>
              <w:rPr>
                <w:rFonts w:ascii="Times New Roman" w:eastAsia="Times New Roman" w:hAnsi="Times New Roman" w:cs="Times New Roman"/>
                <w:sz w:val="18"/>
                <w:szCs w:val="18"/>
                <w:highlight w:val="white"/>
              </w:rPr>
              <w:lastRenderedPageBreak/>
              <w:t>Interview</w:t>
            </w:r>
          </w:p>
        </w:tc>
        <w:tc>
          <w:tcPr>
            <w:tcW w:w="1005" w:type="dxa"/>
            <w:tcMar>
              <w:top w:w="0" w:type="dxa"/>
              <w:left w:w="40" w:type="dxa"/>
              <w:bottom w:w="0" w:type="dxa"/>
              <w:right w:w="40" w:type="dxa"/>
            </w:tcMar>
          </w:tcPr>
          <w:p w14:paraId="0C62893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 UK</w:t>
            </w:r>
          </w:p>
        </w:tc>
      </w:tr>
      <w:tr w:rsidR="00BC16EB" w14:paraId="07832222" w14:textId="77777777">
        <w:trPr>
          <w:trHeight w:val="440"/>
        </w:trPr>
        <w:tc>
          <w:tcPr>
            <w:tcW w:w="525" w:type="dxa"/>
            <w:tcMar>
              <w:top w:w="100" w:type="dxa"/>
              <w:left w:w="100" w:type="dxa"/>
              <w:bottom w:w="100" w:type="dxa"/>
              <w:right w:w="100" w:type="dxa"/>
            </w:tcMar>
          </w:tcPr>
          <w:p w14:paraId="3F3E7E71"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63</w:t>
            </w:r>
          </w:p>
        </w:tc>
        <w:tc>
          <w:tcPr>
            <w:tcW w:w="990" w:type="dxa"/>
            <w:tcBorders>
              <w:left w:val="single" w:sz="6" w:space="0" w:color="000000"/>
            </w:tcBorders>
            <w:tcMar>
              <w:top w:w="0" w:type="dxa"/>
              <w:left w:w="40" w:type="dxa"/>
              <w:bottom w:w="0" w:type="dxa"/>
              <w:right w:w="40" w:type="dxa"/>
            </w:tcMar>
          </w:tcPr>
          <w:p w14:paraId="5B857FF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2024</w:t>
            </w:r>
          </w:p>
        </w:tc>
        <w:tc>
          <w:tcPr>
            <w:tcW w:w="1110" w:type="dxa"/>
            <w:tcMar>
              <w:top w:w="0" w:type="dxa"/>
              <w:left w:w="40" w:type="dxa"/>
              <w:bottom w:w="0" w:type="dxa"/>
              <w:right w:w="40" w:type="dxa"/>
            </w:tcMar>
          </w:tcPr>
          <w:p w14:paraId="2B8B8C3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Paustian‐Underdahl, S. C., Little, L. M., Mandeville, A. M., Hinojosa, A. </w:t>
            </w:r>
            <w:r>
              <w:rPr>
                <w:rFonts w:ascii="Times New Roman" w:eastAsia="Times New Roman" w:hAnsi="Times New Roman" w:cs="Times New Roman"/>
                <w:sz w:val="18"/>
                <w:szCs w:val="18"/>
              </w:rPr>
              <w:lastRenderedPageBreak/>
              <w:t xml:space="preserve">S., &amp; Keyes, A.  </w:t>
            </w:r>
          </w:p>
        </w:tc>
        <w:tc>
          <w:tcPr>
            <w:tcW w:w="1770" w:type="dxa"/>
            <w:tcMar>
              <w:top w:w="0" w:type="dxa"/>
              <w:left w:w="40" w:type="dxa"/>
              <w:bottom w:w="0" w:type="dxa"/>
              <w:right w:w="40" w:type="dxa"/>
            </w:tcMar>
          </w:tcPr>
          <w:p w14:paraId="238FC1A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Examining the role of maternity benefit comparisons and pregnancy discrimination in women's turnover decisions.</w:t>
            </w:r>
          </w:p>
        </w:tc>
        <w:tc>
          <w:tcPr>
            <w:tcW w:w="1065" w:type="dxa"/>
            <w:tcMar>
              <w:top w:w="0" w:type="dxa"/>
              <w:left w:w="40" w:type="dxa"/>
              <w:bottom w:w="0" w:type="dxa"/>
              <w:right w:w="40" w:type="dxa"/>
            </w:tcMar>
          </w:tcPr>
          <w:p w14:paraId="5D04CDB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Personnel Psychology</w:t>
            </w:r>
          </w:p>
        </w:tc>
        <w:tc>
          <w:tcPr>
            <w:tcW w:w="1710" w:type="dxa"/>
            <w:tcMar>
              <w:top w:w="0" w:type="dxa"/>
              <w:left w:w="40" w:type="dxa"/>
              <w:bottom w:w="0" w:type="dxa"/>
              <w:right w:w="40" w:type="dxa"/>
            </w:tcMar>
          </w:tcPr>
          <w:p w14:paraId="1C54486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Cohort Study</w:t>
            </w:r>
          </w:p>
        </w:tc>
        <w:tc>
          <w:tcPr>
            <w:tcW w:w="1110" w:type="dxa"/>
            <w:tcMar>
              <w:top w:w="0" w:type="dxa"/>
              <w:left w:w="40" w:type="dxa"/>
              <w:bottom w:w="0" w:type="dxa"/>
              <w:right w:w="40" w:type="dxa"/>
            </w:tcMar>
          </w:tcPr>
          <w:p w14:paraId="686AABB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1: N = final 150 STUDY 2: N = final 259</w:t>
            </w:r>
          </w:p>
        </w:tc>
        <w:tc>
          <w:tcPr>
            <w:tcW w:w="4455" w:type="dxa"/>
            <w:tcMar>
              <w:top w:w="0" w:type="dxa"/>
              <w:left w:w="40" w:type="dxa"/>
              <w:bottom w:w="0" w:type="dxa"/>
              <w:right w:w="40" w:type="dxa"/>
            </w:tcMar>
          </w:tcPr>
          <w:p w14:paraId="5F49DDC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Our results indicate that when women perceive their maternity benefits to be less favourable than other peoples' benefits, they perceive more pregnancy discrimination. In turn, perceptions of pregnancy discrimination influence their subsequent turnover decisions. Consistent with identity threat response theory, our results also suggest that perceived supervisor support is a significant moderator, </w:t>
            </w:r>
            <w:r>
              <w:rPr>
                <w:rFonts w:ascii="Times New Roman" w:eastAsia="Times New Roman" w:hAnsi="Times New Roman" w:cs="Times New Roman"/>
                <w:sz w:val="18"/>
                <w:szCs w:val="18"/>
              </w:rPr>
              <w:lastRenderedPageBreak/>
              <w:t>weakening the impact of maternity benefit comparisons on perceptions of pregnancy discrimination.</w:t>
            </w:r>
          </w:p>
        </w:tc>
        <w:tc>
          <w:tcPr>
            <w:tcW w:w="1290" w:type="dxa"/>
            <w:tcBorders>
              <w:right w:val="single" w:sz="6" w:space="0" w:color="000000"/>
            </w:tcBorders>
            <w:tcMar>
              <w:top w:w="0" w:type="dxa"/>
              <w:left w:w="40" w:type="dxa"/>
              <w:bottom w:w="0" w:type="dxa"/>
              <w:right w:w="40" w:type="dxa"/>
            </w:tcMar>
          </w:tcPr>
          <w:p w14:paraId="2FCDD66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Multi-wave surveys; perceived supervisor support (PSS)</w:t>
            </w:r>
          </w:p>
          <w:p w14:paraId="06A7600D" w14:textId="77777777" w:rsidR="00BC16EB" w:rsidRDefault="00BC16EB">
            <w:pPr>
              <w:widowControl w:val="0"/>
              <w:spacing w:line="480" w:lineRule="auto"/>
              <w:rPr>
                <w:rFonts w:ascii="Times New Roman" w:eastAsia="Times New Roman" w:hAnsi="Times New Roman" w:cs="Times New Roman"/>
                <w:sz w:val="18"/>
                <w:szCs w:val="18"/>
              </w:rPr>
            </w:pPr>
          </w:p>
        </w:tc>
        <w:tc>
          <w:tcPr>
            <w:tcW w:w="1005" w:type="dxa"/>
            <w:tcMar>
              <w:top w:w="0" w:type="dxa"/>
              <w:left w:w="40" w:type="dxa"/>
              <w:bottom w:w="0" w:type="dxa"/>
              <w:right w:w="40" w:type="dxa"/>
            </w:tcMar>
          </w:tcPr>
          <w:p w14:paraId="5E1C876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7FF0C02A" w14:textId="77777777">
        <w:trPr>
          <w:trHeight w:val="440"/>
        </w:trPr>
        <w:tc>
          <w:tcPr>
            <w:tcW w:w="525" w:type="dxa"/>
            <w:tcMar>
              <w:top w:w="100" w:type="dxa"/>
              <w:left w:w="100" w:type="dxa"/>
              <w:bottom w:w="100" w:type="dxa"/>
              <w:right w:w="100" w:type="dxa"/>
            </w:tcMar>
          </w:tcPr>
          <w:p w14:paraId="4CC1302B"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64</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A61B5D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2024</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189D93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Percival Carter, E. </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05FD4B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Power and the perception of pregnancy in the academy</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77095B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Gender, Work &amp; Organization</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52BC6D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B78CB6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 specified</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420697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Pregnancy discrimination in academia is largely driven by power dynamics. Pregnant individuals face systemic challenges, with institutions and individuals in power often viewing pregnancy as a problem to be managed, leading to discrimination. The study highlights how academic structures perpetuate inequalities, making it difficult for pregnant women and mothers to succeed, despite policies designed to support them. The author’s personal narrative underscores the persistence of these issues in academic envir</w:t>
            </w:r>
            <w:r>
              <w:rPr>
                <w:rFonts w:ascii="Times New Roman" w:eastAsia="Times New Roman" w:hAnsi="Times New Roman" w:cs="Times New Roman"/>
                <w:sz w:val="18"/>
                <w:szCs w:val="18"/>
              </w:rPr>
              <w:t>onments.</w:t>
            </w:r>
          </w:p>
        </w:tc>
        <w:tc>
          <w:tcPr>
            <w:tcW w:w="1290" w:type="dxa"/>
            <w:tcBorders>
              <w:left w:val="single" w:sz="6" w:space="0" w:color="000000"/>
              <w:right w:val="single" w:sz="6" w:space="0" w:color="000000"/>
            </w:tcBorders>
            <w:tcMar>
              <w:top w:w="0" w:type="dxa"/>
              <w:left w:w="40" w:type="dxa"/>
              <w:bottom w:w="0" w:type="dxa"/>
              <w:right w:w="40" w:type="dxa"/>
            </w:tcMar>
          </w:tcPr>
          <w:p w14:paraId="5A79D5E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Personal narrative accounts and a review of contemporary literature</w:t>
            </w:r>
          </w:p>
          <w:p w14:paraId="0F103EE3" w14:textId="77777777" w:rsidR="00BC16EB" w:rsidRDefault="00BC16EB">
            <w:pPr>
              <w:widowControl w:val="0"/>
              <w:spacing w:line="480" w:lineRule="auto"/>
              <w:rPr>
                <w:rFonts w:ascii="Times New Roman" w:eastAsia="Times New Roman" w:hAnsi="Times New Roman" w:cs="Times New Roman"/>
                <w:sz w:val="18"/>
                <w:szCs w:val="18"/>
              </w:rPr>
            </w:pP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D494BE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USA</w:t>
            </w:r>
          </w:p>
        </w:tc>
      </w:tr>
      <w:tr w:rsidR="00BC16EB" w14:paraId="4014FF19" w14:textId="77777777">
        <w:trPr>
          <w:trHeight w:val="440"/>
        </w:trPr>
        <w:tc>
          <w:tcPr>
            <w:tcW w:w="15030" w:type="dxa"/>
            <w:gridSpan w:val="10"/>
            <w:tcMar>
              <w:top w:w="100" w:type="dxa"/>
              <w:left w:w="100" w:type="dxa"/>
              <w:bottom w:w="100" w:type="dxa"/>
              <w:right w:w="100" w:type="dxa"/>
            </w:tcMar>
          </w:tcPr>
          <w:p w14:paraId="52090BC2"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Menopause</w:t>
            </w:r>
          </w:p>
        </w:tc>
      </w:tr>
      <w:tr w:rsidR="00BC16EB" w14:paraId="58194B61" w14:textId="77777777">
        <w:trPr>
          <w:trHeight w:val="440"/>
        </w:trPr>
        <w:tc>
          <w:tcPr>
            <w:tcW w:w="525" w:type="dxa"/>
          </w:tcPr>
          <w:p w14:paraId="008B31F6" w14:textId="77777777" w:rsidR="00BC16EB" w:rsidRDefault="005714A1">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ID</w:t>
            </w:r>
          </w:p>
        </w:tc>
        <w:tc>
          <w:tcPr>
            <w:tcW w:w="990" w:type="dxa"/>
          </w:tcPr>
          <w:p w14:paraId="77084F9B" w14:textId="77777777" w:rsidR="00BC16EB" w:rsidRDefault="005714A1">
            <w:pPr>
              <w:spacing w:line="48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8"/>
                <w:szCs w:val="18"/>
              </w:rPr>
              <w:t xml:space="preserve">Year of </w:t>
            </w:r>
            <w:r>
              <w:rPr>
                <w:rFonts w:ascii="Times New Roman" w:eastAsia="Times New Roman" w:hAnsi="Times New Roman" w:cs="Times New Roman"/>
                <w:b/>
                <w:sz w:val="16"/>
                <w:szCs w:val="16"/>
              </w:rPr>
              <w:t>publication</w:t>
            </w:r>
          </w:p>
        </w:tc>
        <w:tc>
          <w:tcPr>
            <w:tcW w:w="1110" w:type="dxa"/>
          </w:tcPr>
          <w:p w14:paraId="14E2D1B7"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Authors</w:t>
            </w:r>
          </w:p>
        </w:tc>
        <w:tc>
          <w:tcPr>
            <w:tcW w:w="1770" w:type="dxa"/>
          </w:tcPr>
          <w:p w14:paraId="5C9427C7"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Title</w:t>
            </w:r>
          </w:p>
        </w:tc>
        <w:tc>
          <w:tcPr>
            <w:tcW w:w="1065" w:type="dxa"/>
          </w:tcPr>
          <w:p w14:paraId="3AC6F661"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Journal</w:t>
            </w:r>
          </w:p>
        </w:tc>
        <w:tc>
          <w:tcPr>
            <w:tcW w:w="1710" w:type="dxa"/>
          </w:tcPr>
          <w:p w14:paraId="7DE6AF17"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Study methodology</w:t>
            </w:r>
          </w:p>
        </w:tc>
        <w:tc>
          <w:tcPr>
            <w:tcW w:w="1110" w:type="dxa"/>
          </w:tcPr>
          <w:p w14:paraId="15D80CFB"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Sample</w:t>
            </w:r>
          </w:p>
        </w:tc>
        <w:tc>
          <w:tcPr>
            <w:tcW w:w="4455" w:type="dxa"/>
          </w:tcPr>
          <w:p w14:paraId="1C76A3F8"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Main findings</w:t>
            </w:r>
          </w:p>
        </w:tc>
        <w:tc>
          <w:tcPr>
            <w:tcW w:w="1290" w:type="dxa"/>
          </w:tcPr>
          <w:p w14:paraId="0E7D3012"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Measures</w:t>
            </w:r>
          </w:p>
        </w:tc>
        <w:tc>
          <w:tcPr>
            <w:tcW w:w="1005" w:type="dxa"/>
          </w:tcPr>
          <w:p w14:paraId="73A9E73F" w14:textId="77777777" w:rsidR="00BC16EB" w:rsidRDefault="005714A1">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Country</w:t>
            </w:r>
          </w:p>
        </w:tc>
      </w:tr>
      <w:tr w:rsidR="00BC16EB" w14:paraId="6F922837" w14:textId="77777777">
        <w:trPr>
          <w:trHeight w:val="440"/>
        </w:trPr>
        <w:tc>
          <w:tcPr>
            <w:tcW w:w="525" w:type="dxa"/>
            <w:tcMar>
              <w:top w:w="100" w:type="dxa"/>
              <w:left w:w="100" w:type="dxa"/>
              <w:bottom w:w="100" w:type="dxa"/>
              <w:right w:w="100" w:type="dxa"/>
            </w:tcMar>
          </w:tcPr>
          <w:p w14:paraId="5D6DACDE"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65</w:t>
            </w:r>
          </w:p>
        </w:tc>
        <w:tc>
          <w:tcPr>
            <w:tcW w:w="990" w:type="dxa"/>
            <w:tcBorders>
              <w:top w:val="single" w:sz="6" w:space="0" w:color="000000"/>
              <w:bottom w:val="single" w:sz="6" w:space="0" w:color="000000"/>
              <w:right w:val="single" w:sz="6" w:space="0" w:color="000000"/>
            </w:tcBorders>
          </w:tcPr>
          <w:p w14:paraId="538D985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2013</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A1922D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Griffiths, A., MacLennan, S. J. and Hassard, J.</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15A233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Menopause and work: An electronic survey of employees’ attitudes</w:t>
            </w:r>
          </w:p>
          <w:p w14:paraId="6A04D22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 the UK</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5FF540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Maturitas</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F48327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4FC3E9F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9F3D5E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896 </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A615CE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final sample comprised 896 women. Menopausal transition caused difficulties for some women at work. The most problematic symptoms were: poor concentration, tiredness, poor memory, feeling low/depressed and lowered </w:t>
            </w:r>
            <w:r>
              <w:rPr>
                <w:rFonts w:ascii="Times New Roman" w:eastAsia="Times New Roman" w:hAnsi="Times New Roman" w:cs="Times New Roman"/>
                <w:sz w:val="18"/>
                <w:szCs w:val="18"/>
              </w:rPr>
              <w:lastRenderedPageBreak/>
              <w:t>confidence. Hot flushes were particularly difficult. Some women felt work performance had been negatively affected. The majority of women were unwilling to disclose menopause-related health problems to line managers, most of whom were men or younger than them. Individual coping strategies were described. Four major areas for organisational-level support emerged: (i) greater awareness among managers about menopause as a possible occupational health issue, (ii) flexible working hours, (iii) access to informat</w:t>
            </w:r>
            <w:r>
              <w:rPr>
                <w:rFonts w:ascii="Times New Roman" w:eastAsia="Times New Roman" w:hAnsi="Times New Roman" w:cs="Times New Roman"/>
                <w:sz w:val="18"/>
                <w:szCs w:val="18"/>
              </w:rPr>
              <w:t>ion and sources of support at work, and (iv) attention to workplace temperature and ventilation.</w:t>
            </w:r>
          </w:p>
        </w:tc>
        <w:tc>
          <w:tcPr>
            <w:tcW w:w="1290" w:type="dxa"/>
            <w:tcBorders>
              <w:top w:val="single" w:sz="6" w:space="0" w:color="000000"/>
              <w:left w:val="single" w:sz="6" w:space="0" w:color="000000"/>
              <w:bottom w:val="single" w:sz="6" w:space="0" w:color="000000"/>
            </w:tcBorders>
          </w:tcPr>
          <w:p w14:paraId="5435D1EC"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Electronic questionnaire</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FC339E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045488F2" w14:textId="77777777">
        <w:trPr>
          <w:trHeight w:val="440"/>
        </w:trPr>
        <w:tc>
          <w:tcPr>
            <w:tcW w:w="525" w:type="dxa"/>
            <w:tcMar>
              <w:top w:w="100" w:type="dxa"/>
              <w:left w:w="100" w:type="dxa"/>
              <w:bottom w:w="100" w:type="dxa"/>
              <w:right w:w="100" w:type="dxa"/>
            </w:tcMar>
          </w:tcPr>
          <w:p w14:paraId="551DAE21"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990" w:type="dxa"/>
            <w:tcBorders>
              <w:top w:val="single" w:sz="6" w:space="0" w:color="000000"/>
              <w:bottom w:val="single" w:sz="6" w:space="0" w:color="000000"/>
              <w:right w:val="single" w:sz="6" w:space="0" w:color="000000"/>
            </w:tcBorders>
          </w:tcPr>
          <w:p w14:paraId="6EAE146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2015</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751D39E" w14:textId="77777777" w:rsidR="00BC16EB" w:rsidRDefault="005714A1">
            <w:pPr>
              <w:spacing w:before="240" w:after="240"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Jack, G.,  Riach, K., Bariola, E., Pitts, M., Schapper, J., &amp; Sarrel, P</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930155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Menopause in the workplace: What employers should be doing</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4B056C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Maturias</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BFD901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Systematic reviews</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98CC77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75 studies</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8CD4AF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findings reveal that women navigate conflicting behaviours regarding their menopausal bodies at work. While they adopt a resilient, neoliberal mindset focused on managing symptoms, they also engage in negative self-talk about their identities related to menopause. This article highlights the need for nuanced research on menopause's impact on extending working lives, emphasising that organisations should understand individual women's needs beyond anti-aging narratives. It argues that menopause </w:t>
            </w:r>
            <w:r>
              <w:rPr>
                <w:rFonts w:ascii="Times New Roman" w:eastAsia="Times New Roman" w:hAnsi="Times New Roman" w:cs="Times New Roman"/>
                <w:sz w:val="18"/>
                <w:szCs w:val="18"/>
              </w:rPr>
              <w:lastRenderedPageBreak/>
              <w:t>management must account for each woman's unique symptoms, as generic HR policies may be insufficient. Menopausal symptoms like fatigue, anxiety, and embarrassment create subtle gendered ageism, with menopause often seen as a taboo topic that women must handle privately, reinforcing the notion that it should be "managed" away from the workplace.</w:t>
            </w:r>
          </w:p>
        </w:tc>
        <w:tc>
          <w:tcPr>
            <w:tcW w:w="1290" w:type="dxa"/>
            <w:tcBorders>
              <w:top w:val="single" w:sz="6" w:space="0" w:color="000000"/>
              <w:left w:val="single" w:sz="6" w:space="0" w:color="000000"/>
              <w:bottom w:val="single" w:sz="6" w:space="0" w:color="000000"/>
            </w:tcBorders>
          </w:tcPr>
          <w:p w14:paraId="46C2CA8A"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Systematic Review</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9E0E8E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Australia / USA</w:t>
            </w:r>
          </w:p>
        </w:tc>
      </w:tr>
      <w:tr w:rsidR="00BC16EB" w14:paraId="3B98D120" w14:textId="77777777">
        <w:trPr>
          <w:trHeight w:val="440"/>
        </w:trPr>
        <w:tc>
          <w:tcPr>
            <w:tcW w:w="525" w:type="dxa"/>
            <w:tcMar>
              <w:top w:w="100" w:type="dxa"/>
              <w:left w:w="100" w:type="dxa"/>
              <w:bottom w:w="100" w:type="dxa"/>
              <w:right w:w="100" w:type="dxa"/>
            </w:tcMar>
          </w:tcPr>
          <w:p w14:paraId="3A164BE9"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67</w:t>
            </w:r>
          </w:p>
        </w:tc>
        <w:tc>
          <w:tcPr>
            <w:tcW w:w="990" w:type="dxa"/>
            <w:tcBorders>
              <w:top w:val="single" w:sz="6" w:space="0" w:color="000000"/>
              <w:bottom w:val="single" w:sz="6" w:space="0" w:color="000000"/>
            </w:tcBorders>
          </w:tcPr>
          <w:p w14:paraId="046AF2A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2016</w:t>
            </w:r>
          </w:p>
        </w:tc>
        <w:tc>
          <w:tcPr>
            <w:tcW w:w="1110" w:type="dxa"/>
            <w:tcBorders>
              <w:top w:val="single" w:sz="6" w:space="0" w:color="000000"/>
              <w:bottom w:val="single" w:sz="6" w:space="0" w:color="000000"/>
            </w:tcBorders>
            <w:tcMar>
              <w:top w:w="0" w:type="dxa"/>
              <w:left w:w="40" w:type="dxa"/>
              <w:bottom w:w="0" w:type="dxa"/>
              <w:right w:w="40" w:type="dxa"/>
            </w:tcMar>
          </w:tcPr>
          <w:p w14:paraId="15EABAD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Żołnierczuk-Kieliszek D, Janiszewska M, Mielniczuk A, Dziedzic MA, Firlej E.</w:t>
            </w:r>
          </w:p>
        </w:tc>
        <w:tc>
          <w:tcPr>
            <w:tcW w:w="1770" w:type="dxa"/>
            <w:tcBorders>
              <w:top w:val="single" w:sz="6" w:space="0" w:color="000000"/>
              <w:bottom w:val="single" w:sz="6" w:space="0" w:color="000000"/>
            </w:tcBorders>
            <w:tcMar>
              <w:top w:w="0" w:type="dxa"/>
              <w:left w:w="40" w:type="dxa"/>
              <w:bottom w:w="0" w:type="dxa"/>
              <w:right w:w="40" w:type="dxa"/>
            </w:tcMar>
          </w:tcPr>
          <w:p w14:paraId="690DC3D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Professional activity of Polish peri- and postmenopausal women</w:t>
            </w:r>
          </w:p>
        </w:tc>
        <w:tc>
          <w:tcPr>
            <w:tcW w:w="1065" w:type="dxa"/>
            <w:tcBorders>
              <w:top w:val="single" w:sz="6" w:space="0" w:color="000000"/>
              <w:bottom w:val="single" w:sz="6" w:space="0" w:color="000000"/>
              <w:right w:val="single" w:sz="6" w:space="0" w:color="000000"/>
            </w:tcBorders>
            <w:tcMar>
              <w:top w:w="0" w:type="dxa"/>
              <w:left w:w="0" w:type="dxa"/>
              <w:bottom w:w="0" w:type="dxa"/>
              <w:right w:w="0" w:type="dxa"/>
            </w:tcMar>
          </w:tcPr>
          <w:p w14:paraId="501EAF6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Przeglad menopauzalny - Menopause review</w:t>
            </w:r>
          </w:p>
        </w:tc>
        <w:tc>
          <w:tcPr>
            <w:tcW w:w="1710" w:type="dxa"/>
            <w:tcBorders>
              <w:top w:val="single" w:sz="6" w:space="0" w:color="000000"/>
              <w:left w:val="single" w:sz="6" w:space="0" w:color="000000"/>
              <w:bottom w:val="single" w:sz="6" w:space="0" w:color="000000"/>
            </w:tcBorders>
            <w:tcMar>
              <w:top w:w="0" w:type="dxa"/>
              <w:left w:w="40" w:type="dxa"/>
              <w:bottom w:w="0" w:type="dxa"/>
              <w:right w:w="40" w:type="dxa"/>
            </w:tcMar>
          </w:tcPr>
          <w:p w14:paraId="443BC0E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 Study</w:t>
            </w:r>
          </w:p>
        </w:tc>
        <w:tc>
          <w:tcPr>
            <w:tcW w:w="1110" w:type="dxa"/>
            <w:tcBorders>
              <w:top w:val="single" w:sz="6" w:space="0" w:color="000000"/>
              <w:bottom w:val="single" w:sz="6" w:space="0" w:color="000000"/>
            </w:tcBorders>
            <w:tcMar>
              <w:top w:w="0" w:type="dxa"/>
              <w:left w:w="40" w:type="dxa"/>
              <w:bottom w:w="0" w:type="dxa"/>
              <w:right w:w="40" w:type="dxa"/>
            </w:tcMar>
          </w:tcPr>
          <w:p w14:paraId="436470D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90 </w:t>
            </w:r>
          </w:p>
        </w:tc>
        <w:tc>
          <w:tcPr>
            <w:tcW w:w="4455" w:type="dxa"/>
            <w:tcBorders>
              <w:top w:val="single" w:sz="6" w:space="0" w:color="000000"/>
              <w:bottom w:val="single" w:sz="6" w:space="0" w:color="000000"/>
            </w:tcBorders>
            <w:tcMar>
              <w:top w:w="0" w:type="dxa"/>
              <w:left w:w="40" w:type="dxa"/>
              <w:bottom w:w="0" w:type="dxa"/>
              <w:right w:w="40" w:type="dxa"/>
            </w:tcMar>
          </w:tcPr>
          <w:p w14:paraId="7F4A3C9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Significant associations between certain health conditions and risk factors among the participants. The analysis highlighted a prevalence of specific health issues within the sample population and identified demographic factors that influenced these conditions. Additionally, the study provided insights into the overall health status of the patients and suggested areas for potential intervention.</w:t>
            </w:r>
          </w:p>
        </w:tc>
        <w:tc>
          <w:tcPr>
            <w:tcW w:w="1290" w:type="dxa"/>
            <w:tcBorders>
              <w:top w:val="single" w:sz="6" w:space="0" w:color="000000"/>
              <w:bottom w:val="single" w:sz="6" w:space="0" w:color="000000"/>
            </w:tcBorders>
          </w:tcPr>
          <w:p w14:paraId="5E03BEE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Questionnaire</w:t>
            </w:r>
          </w:p>
        </w:tc>
        <w:tc>
          <w:tcPr>
            <w:tcW w:w="1005" w:type="dxa"/>
            <w:tcBorders>
              <w:top w:val="single" w:sz="6" w:space="0" w:color="000000"/>
              <w:bottom w:val="single" w:sz="6" w:space="0" w:color="000000"/>
            </w:tcBorders>
            <w:tcMar>
              <w:top w:w="0" w:type="dxa"/>
              <w:left w:w="40" w:type="dxa"/>
              <w:bottom w:w="0" w:type="dxa"/>
              <w:right w:w="40" w:type="dxa"/>
            </w:tcMar>
          </w:tcPr>
          <w:p w14:paraId="50BE9CF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Poland</w:t>
            </w:r>
          </w:p>
        </w:tc>
      </w:tr>
      <w:tr w:rsidR="00BC16EB" w14:paraId="0A409B6B" w14:textId="77777777">
        <w:trPr>
          <w:trHeight w:val="440"/>
        </w:trPr>
        <w:tc>
          <w:tcPr>
            <w:tcW w:w="525" w:type="dxa"/>
            <w:tcMar>
              <w:top w:w="100" w:type="dxa"/>
              <w:left w:w="100" w:type="dxa"/>
              <w:bottom w:w="100" w:type="dxa"/>
              <w:right w:w="100" w:type="dxa"/>
            </w:tcMar>
          </w:tcPr>
          <w:p w14:paraId="709B9C34"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990" w:type="dxa"/>
            <w:tcBorders>
              <w:right w:val="single" w:sz="6" w:space="0" w:color="000000"/>
            </w:tcBorders>
          </w:tcPr>
          <w:p w14:paraId="1CC46018"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2017</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4A72D1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Bariola, E., Jack, G., Pitts, M., Riach, K. and Sarrel, P.</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C79CA4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Employment conditions and work-related stressors are associated with menopausal symptom reporting among </w:t>
            </w:r>
            <w:r>
              <w:rPr>
                <w:rFonts w:ascii="Times New Roman" w:eastAsia="Times New Roman" w:hAnsi="Times New Roman" w:cs="Times New Roman"/>
                <w:sz w:val="18"/>
                <w:szCs w:val="18"/>
              </w:rPr>
              <w:lastRenderedPageBreak/>
              <w:t>perimenopausal and postmenopausal women</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75220D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Menopause: The Journal of The North American Menopause Society</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4C1EB0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7E6199F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Study </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15BBA2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476 perime-nopausal and postmenopausal women working in the higher </w:t>
            </w:r>
            <w:r>
              <w:rPr>
                <w:rFonts w:ascii="Times New Roman" w:eastAsia="Times New Roman" w:hAnsi="Times New Roman" w:cs="Times New Roman"/>
                <w:sz w:val="18"/>
                <w:szCs w:val="18"/>
              </w:rPr>
              <w:lastRenderedPageBreak/>
              <w:t>education sector in Australia.</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701FB2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A forced entry multivariable regression analysis revealed that high supervisor support (b 1⁄4 0.10, P 1⁄4 0.04), being employed on a full-time basis (b 1⁄4 0.11, P 1⁄4 0.02), and having control over workplace temperature (b 1⁄4 0.11, P 1⁄4 0.02) were independently associated with lower menopausal symptom reporting a large proportion of the study’s sample </w:t>
            </w:r>
            <w:r>
              <w:rPr>
                <w:rFonts w:ascii="Times New Roman" w:eastAsia="Times New Roman" w:hAnsi="Times New Roman" w:cs="Times New Roman"/>
                <w:sz w:val="18"/>
                <w:szCs w:val="18"/>
              </w:rPr>
              <w:lastRenderedPageBreak/>
              <w:t>of middle-aged working women reported that problems with colleagues or supervisors aggravated their menopausal symptoms.</w:t>
            </w:r>
          </w:p>
        </w:tc>
        <w:tc>
          <w:tcPr>
            <w:tcW w:w="1290" w:type="dxa"/>
            <w:tcBorders>
              <w:left w:val="single" w:sz="6" w:space="0" w:color="000000"/>
            </w:tcBorders>
          </w:tcPr>
          <w:p w14:paraId="620C1653"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Quantitative</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4C164B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Australia</w:t>
            </w:r>
          </w:p>
        </w:tc>
      </w:tr>
      <w:tr w:rsidR="00BC16EB" w14:paraId="7BD02C34" w14:textId="77777777">
        <w:trPr>
          <w:trHeight w:val="440"/>
        </w:trPr>
        <w:tc>
          <w:tcPr>
            <w:tcW w:w="525" w:type="dxa"/>
            <w:tcMar>
              <w:top w:w="100" w:type="dxa"/>
              <w:left w:w="100" w:type="dxa"/>
              <w:bottom w:w="100" w:type="dxa"/>
              <w:right w:w="100" w:type="dxa"/>
            </w:tcMar>
          </w:tcPr>
          <w:p w14:paraId="6B97056D"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69</w:t>
            </w:r>
          </w:p>
        </w:tc>
        <w:tc>
          <w:tcPr>
            <w:tcW w:w="990" w:type="dxa"/>
            <w:tcBorders>
              <w:bottom w:val="single" w:sz="6" w:space="0" w:color="000000"/>
              <w:right w:val="single" w:sz="6" w:space="0" w:color="000000"/>
            </w:tcBorders>
          </w:tcPr>
          <w:p w14:paraId="1BB81139"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2017</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F797D7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Hardy, C., Griffiths, A., and Hunter, M.</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2CF1C3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What do working menopausal women want? A qualitative investigation into women's perspectives on employer and line manager support</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E79554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Maturitas</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FC83CC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FD1B2C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=137</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AC382F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 inductive thematic analysis was conducted and three overarching themes emerged. Theme 1 related to employer/manager awareness, specifically to knowledge about the menopause and awareness of how the physical work environment might impact on menopausal women. Theme 2 related to employer/manager communication skills and behaviours, specifically those considered helpful and desired and those considered unhelpful and undesired. Theme 3 described employer actions, involving staff training and raising awareness</w:t>
            </w:r>
            <w:r>
              <w:rPr>
                <w:rFonts w:ascii="Times New Roman" w:eastAsia="Times New Roman" w:hAnsi="Times New Roman" w:cs="Times New Roman"/>
                <w:sz w:val="18"/>
                <w:szCs w:val="18"/>
              </w:rPr>
              <w:t>, and supportive policies such as those relating to sickness absence and flexible working hours.</w:t>
            </w:r>
          </w:p>
          <w:p w14:paraId="4984D47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Menopause can be difficult for some women to deal with at work, partly due to the working environment.</w:t>
            </w:r>
          </w:p>
        </w:tc>
        <w:tc>
          <w:tcPr>
            <w:tcW w:w="1290" w:type="dxa"/>
            <w:tcBorders>
              <w:left w:val="single" w:sz="6" w:space="0" w:color="000000"/>
              <w:bottom w:val="single" w:sz="6" w:space="0" w:color="000000"/>
            </w:tcBorders>
          </w:tcPr>
          <w:p w14:paraId="07D7A7AF"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electronic survey</w:t>
            </w:r>
          </w:p>
          <w:p w14:paraId="77489EDE" w14:textId="77777777" w:rsidR="00BC16EB" w:rsidRDefault="00BC16EB">
            <w:pPr>
              <w:spacing w:line="480" w:lineRule="auto"/>
              <w:rPr>
                <w:rFonts w:ascii="Times New Roman" w:eastAsia="Times New Roman" w:hAnsi="Times New Roman" w:cs="Times New Roman"/>
                <w:sz w:val="18"/>
                <w:szCs w:val="18"/>
              </w:rPr>
            </w:pP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80390A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7C0119EF" w14:textId="77777777">
        <w:trPr>
          <w:trHeight w:val="440"/>
        </w:trPr>
        <w:tc>
          <w:tcPr>
            <w:tcW w:w="525" w:type="dxa"/>
            <w:tcMar>
              <w:top w:w="100" w:type="dxa"/>
              <w:left w:w="100" w:type="dxa"/>
              <w:bottom w:w="100" w:type="dxa"/>
              <w:right w:w="100" w:type="dxa"/>
            </w:tcMar>
          </w:tcPr>
          <w:p w14:paraId="7C3CBE2C"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70</w:t>
            </w:r>
          </w:p>
        </w:tc>
        <w:tc>
          <w:tcPr>
            <w:tcW w:w="990" w:type="dxa"/>
            <w:tcMar>
              <w:top w:w="0" w:type="dxa"/>
              <w:left w:w="40" w:type="dxa"/>
              <w:bottom w:w="0" w:type="dxa"/>
              <w:right w:w="40" w:type="dxa"/>
            </w:tcMar>
          </w:tcPr>
          <w:p w14:paraId="4158A4C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2018</w:t>
            </w:r>
          </w:p>
        </w:tc>
        <w:tc>
          <w:tcPr>
            <w:tcW w:w="1110" w:type="dxa"/>
            <w:tcMar>
              <w:top w:w="0" w:type="dxa"/>
              <w:left w:w="40" w:type="dxa"/>
              <w:bottom w:w="0" w:type="dxa"/>
              <w:right w:w="40" w:type="dxa"/>
            </w:tcMar>
          </w:tcPr>
          <w:p w14:paraId="00B65DCF" w14:textId="77777777" w:rsidR="00BC16EB" w:rsidRDefault="005714A1">
            <w:pPr>
              <w:spacing w:before="240" w:after="240" w:line="480" w:lineRule="auto"/>
              <w:jc w:val="both"/>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highlight w:val="white"/>
              </w:rPr>
              <w:t xml:space="preserve">Hardy, C., Griffiths, A., </w:t>
            </w:r>
            <w:r>
              <w:rPr>
                <w:rFonts w:ascii="Times New Roman" w:eastAsia="Times New Roman" w:hAnsi="Times New Roman" w:cs="Times New Roman"/>
                <w:color w:val="333333"/>
                <w:sz w:val="18"/>
                <w:szCs w:val="18"/>
                <w:highlight w:val="white"/>
              </w:rPr>
              <w:lastRenderedPageBreak/>
              <w:t>Thorne, E., &amp; Hunter, M.</w:t>
            </w:r>
          </w:p>
        </w:tc>
        <w:tc>
          <w:tcPr>
            <w:tcW w:w="1770" w:type="dxa"/>
            <w:tcMar>
              <w:top w:w="0" w:type="dxa"/>
              <w:left w:w="40" w:type="dxa"/>
              <w:bottom w:w="0" w:type="dxa"/>
              <w:right w:w="40" w:type="dxa"/>
            </w:tcMar>
          </w:tcPr>
          <w:p w14:paraId="6F3976CF" w14:textId="77777777" w:rsidR="00BC16EB" w:rsidRDefault="005714A1">
            <w:pPr>
              <w:spacing w:before="240" w:after="240" w:line="480" w:lineRule="auto"/>
              <w:jc w:val="both"/>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highlight w:val="white"/>
              </w:rPr>
              <w:lastRenderedPageBreak/>
              <w:t>Tackling the taboo: Talking menopause-</w:t>
            </w:r>
            <w:r>
              <w:rPr>
                <w:rFonts w:ascii="Times New Roman" w:eastAsia="Times New Roman" w:hAnsi="Times New Roman" w:cs="Times New Roman"/>
                <w:color w:val="333333"/>
                <w:sz w:val="18"/>
                <w:szCs w:val="18"/>
                <w:highlight w:val="white"/>
              </w:rPr>
              <w:lastRenderedPageBreak/>
              <w:t xml:space="preserve">related problems at work. </w:t>
            </w:r>
          </w:p>
        </w:tc>
        <w:tc>
          <w:tcPr>
            <w:tcW w:w="1065" w:type="dxa"/>
            <w:tcMar>
              <w:top w:w="0" w:type="dxa"/>
              <w:left w:w="40" w:type="dxa"/>
              <w:bottom w:w="0" w:type="dxa"/>
              <w:right w:w="40" w:type="dxa"/>
            </w:tcMar>
          </w:tcPr>
          <w:p w14:paraId="0A8FCE47" w14:textId="77777777" w:rsidR="00BC16EB" w:rsidRDefault="005714A1">
            <w:pPr>
              <w:spacing w:before="240" w:after="240" w:line="480" w:lineRule="auto"/>
              <w:jc w:val="both"/>
              <w:rPr>
                <w:rFonts w:ascii="Times New Roman" w:eastAsia="Times New Roman" w:hAnsi="Times New Roman" w:cs="Times New Roman"/>
                <w:sz w:val="18"/>
                <w:szCs w:val="18"/>
              </w:rPr>
            </w:pPr>
            <w:r>
              <w:rPr>
                <w:rFonts w:ascii="Times New Roman" w:eastAsia="Times New Roman" w:hAnsi="Times New Roman" w:cs="Times New Roman"/>
                <w:i/>
                <w:color w:val="333333"/>
                <w:sz w:val="18"/>
                <w:szCs w:val="18"/>
                <w:highlight w:val="white"/>
              </w:rPr>
              <w:lastRenderedPageBreak/>
              <w:t xml:space="preserve">International Journal of </w:t>
            </w:r>
            <w:r>
              <w:rPr>
                <w:rFonts w:ascii="Times New Roman" w:eastAsia="Times New Roman" w:hAnsi="Times New Roman" w:cs="Times New Roman"/>
                <w:i/>
                <w:color w:val="333333"/>
                <w:sz w:val="18"/>
                <w:szCs w:val="18"/>
                <w:highlight w:val="white"/>
              </w:rPr>
              <w:lastRenderedPageBreak/>
              <w:t>Workplace Health Management</w:t>
            </w:r>
          </w:p>
        </w:tc>
        <w:tc>
          <w:tcPr>
            <w:tcW w:w="1710" w:type="dxa"/>
            <w:tcMar>
              <w:top w:w="0" w:type="dxa"/>
              <w:left w:w="40" w:type="dxa"/>
              <w:bottom w:w="0" w:type="dxa"/>
              <w:right w:w="40" w:type="dxa"/>
            </w:tcMar>
          </w:tcPr>
          <w:p w14:paraId="49E9282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Qualitative Study</w:t>
            </w:r>
          </w:p>
        </w:tc>
        <w:tc>
          <w:tcPr>
            <w:tcW w:w="1110" w:type="dxa"/>
            <w:tcMar>
              <w:top w:w="0" w:type="dxa"/>
              <w:left w:w="40" w:type="dxa"/>
              <w:bottom w:w="0" w:type="dxa"/>
              <w:right w:w="40" w:type="dxa"/>
            </w:tcMar>
          </w:tcPr>
          <w:p w14:paraId="10B70A8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N=42</w:t>
            </w:r>
          </w:p>
        </w:tc>
        <w:tc>
          <w:tcPr>
            <w:tcW w:w="4455" w:type="dxa"/>
            <w:tcMar>
              <w:top w:w="0" w:type="dxa"/>
              <w:left w:w="40" w:type="dxa"/>
              <w:bottom w:w="0" w:type="dxa"/>
              <w:right w:w="40" w:type="dxa"/>
            </w:tcMar>
          </w:tcPr>
          <w:p w14:paraId="591BE87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Two themes emerged: first, organizational context. Facilitators included an open culture with</w:t>
            </w:r>
          </w:p>
          <w:p w14:paraId="1EB2B82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friendly relationships, a knowledgeable and proactive </w:t>
            </w:r>
            <w:r>
              <w:rPr>
                <w:rFonts w:ascii="Times New Roman" w:eastAsia="Times New Roman" w:hAnsi="Times New Roman" w:cs="Times New Roman"/>
                <w:sz w:val="18"/>
                <w:szCs w:val="18"/>
              </w:rPr>
              <w:lastRenderedPageBreak/>
              <w:t>manager, organization-wide awareness of the menopause</w:t>
            </w:r>
          </w:p>
          <w:p w14:paraId="494FD1F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and aging, and access to a nominated woman to discuss problems. Barriers included male-dominated workplaces,</w:t>
            </w:r>
          </w:p>
          <w:p w14:paraId="1635C44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male line managers, fear of negative responses, stigma, discrimination, embarrassment or believing menopause is</w:t>
            </w:r>
          </w:p>
          <w:p w14:paraId="27B6797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inappropriate to discuss at work; second, the nature of the discussion. Facilitators included managers</w:t>
            </w:r>
          </w:p>
          <w:p w14:paraId="1E5F404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demonstrating an understanding and acceptance of a woman’s experience, jointly seeking acceptable solutions,</w:t>
            </w:r>
          </w:p>
          <w:p w14:paraId="47326A9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respecting privacy and confidentiality, and appropriate use of humor, as opposed to being dismissive and using</w:t>
            </w:r>
          </w:p>
          <w:p w14:paraId="742F170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inappropriate body language. Discussions with suitable persons at work were preferred and being prepared was</w:t>
            </w:r>
          </w:p>
          <w:p w14:paraId="4D93B6B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advised. The women in the sample advised having discussions with appropriate persons and being prepared.</w:t>
            </w:r>
          </w:p>
        </w:tc>
        <w:tc>
          <w:tcPr>
            <w:tcW w:w="1290" w:type="dxa"/>
            <w:tcMar>
              <w:top w:w="0" w:type="dxa"/>
              <w:left w:w="40" w:type="dxa"/>
              <w:bottom w:w="0" w:type="dxa"/>
              <w:right w:w="40" w:type="dxa"/>
            </w:tcMar>
          </w:tcPr>
          <w:p w14:paraId="36D593D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Semi-Structured Interviews</w:t>
            </w:r>
          </w:p>
        </w:tc>
        <w:tc>
          <w:tcPr>
            <w:tcW w:w="1005" w:type="dxa"/>
            <w:tcMar>
              <w:top w:w="0" w:type="dxa"/>
              <w:left w:w="40" w:type="dxa"/>
              <w:bottom w:w="0" w:type="dxa"/>
              <w:right w:w="40" w:type="dxa"/>
            </w:tcMar>
          </w:tcPr>
          <w:p w14:paraId="3A94DD7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60F52D93" w14:textId="77777777">
        <w:trPr>
          <w:trHeight w:val="440"/>
        </w:trPr>
        <w:tc>
          <w:tcPr>
            <w:tcW w:w="525" w:type="dxa"/>
            <w:tcMar>
              <w:top w:w="100" w:type="dxa"/>
              <w:left w:w="100" w:type="dxa"/>
              <w:bottom w:w="100" w:type="dxa"/>
              <w:right w:w="100" w:type="dxa"/>
            </w:tcMar>
          </w:tcPr>
          <w:p w14:paraId="514CE1C1"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71</w:t>
            </w:r>
          </w:p>
        </w:tc>
        <w:tc>
          <w:tcPr>
            <w:tcW w:w="990" w:type="dxa"/>
            <w:tcBorders>
              <w:right w:val="single" w:sz="6" w:space="0" w:color="000000"/>
            </w:tcBorders>
          </w:tcPr>
          <w:p w14:paraId="0D7D93BD"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5997F5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Beck, V., Brewis, J.  &amp; Davies, A.</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CB729F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remains of the taboo: experiences, attitudes, and knowledge about menopause in the </w:t>
            </w:r>
            <w:r>
              <w:rPr>
                <w:rFonts w:ascii="Times New Roman" w:eastAsia="Times New Roman" w:hAnsi="Times New Roman" w:cs="Times New Roman"/>
                <w:sz w:val="18"/>
                <w:szCs w:val="18"/>
              </w:rPr>
              <w:lastRenderedPageBreak/>
              <w:t>workplace</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9D197C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Climacteric</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8B8D68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Cross-sectional</w:t>
            </w:r>
          </w:p>
          <w:p w14:paraId="560BEBF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26734A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5399</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C5C863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Only 45.8% had disclosed their menopause status at work. Fewer than 20% were provided with information about menopause in their workplace but the majority would like such information to be available.</w:t>
            </w:r>
          </w:p>
          <w:p w14:paraId="3495129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These findings show that whilst menopause at work has </w:t>
            </w:r>
            <w:r>
              <w:rPr>
                <w:rFonts w:ascii="Times New Roman" w:eastAsia="Times New Roman" w:hAnsi="Times New Roman" w:cs="Times New Roman"/>
                <w:sz w:val="18"/>
                <w:szCs w:val="18"/>
              </w:rPr>
              <w:lastRenderedPageBreak/>
              <w:t>become normalised in some workplaces – in that consideration and support are available – for many, it still seems to be a taboo. The overview of descriptive statistics provides insights into a range of results from the survey that combine to suggest that menopause remains a workplace taboo.</w:t>
            </w:r>
          </w:p>
        </w:tc>
        <w:tc>
          <w:tcPr>
            <w:tcW w:w="1290" w:type="dxa"/>
            <w:tcBorders>
              <w:left w:val="single" w:sz="6" w:space="0" w:color="000000"/>
            </w:tcBorders>
          </w:tcPr>
          <w:p w14:paraId="55F7106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Survey</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23C5E2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1258DA0D" w14:textId="77777777">
        <w:trPr>
          <w:trHeight w:val="440"/>
        </w:trPr>
        <w:tc>
          <w:tcPr>
            <w:tcW w:w="525" w:type="dxa"/>
            <w:tcMar>
              <w:top w:w="100" w:type="dxa"/>
              <w:left w:w="100" w:type="dxa"/>
              <w:bottom w:w="100" w:type="dxa"/>
              <w:right w:w="100" w:type="dxa"/>
            </w:tcMar>
          </w:tcPr>
          <w:p w14:paraId="38E242B6"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c>
          <w:tcPr>
            <w:tcW w:w="990" w:type="dxa"/>
          </w:tcPr>
          <w:p w14:paraId="5B261695"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tcBorders>
              <w:top w:val="single" w:sz="6" w:space="0" w:color="000000"/>
            </w:tcBorders>
            <w:tcMar>
              <w:top w:w="0" w:type="dxa"/>
              <w:left w:w="40" w:type="dxa"/>
              <w:bottom w:w="0" w:type="dxa"/>
              <w:right w:w="40" w:type="dxa"/>
            </w:tcMar>
          </w:tcPr>
          <w:p w14:paraId="5F3D437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Geukes M, Oosterhof H, van Aalst MP, Anema JR.</w:t>
            </w:r>
          </w:p>
        </w:tc>
        <w:tc>
          <w:tcPr>
            <w:tcW w:w="1770" w:type="dxa"/>
            <w:tcBorders>
              <w:top w:val="single" w:sz="6" w:space="0" w:color="000000"/>
            </w:tcBorders>
            <w:tcMar>
              <w:top w:w="0" w:type="dxa"/>
              <w:left w:w="40" w:type="dxa"/>
              <w:bottom w:w="0" w:type="dxa"/>
              <w:right w:w="40" w:type="dxa"/>
            </w:tcMar>
          </w:tcPr>
          <w:p w14:paraId="4C53322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Attitude, confidence and social norm of Dutch occupational physicians regarding menopause in a work context</w:t>
            </w:r>
          </w:p>
        </w:tc>
        <w:tc>
          <w:tcPr>
            <w:tcW w:w="1065" w:type="dxa"/>
            <w:tcBorders>
              <w:top w:val="single" w:sz="6" w:space="0" w:color="000000"/>
            </w:tcBorders>
            <w:tcMar>
              <w:top w:w="0" w:type="dxa"/>
              <w:left w:w="40" w:type="dxa"/>
              <w:bottom w:w="0" w:type="dxa"/>
              <w:right w:w="40" w:type="dxa"/>
            </w:tcMar>
          </w:tcPr>
          <w:p w14:paraId="2EB80C4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Maturitas</w:t>
            </w:r>
          </w:p>
        </w:tc>
        <w:tc>
          <w:tcPr>
            <w:tcW w:w="1710" w:type="dxa"/>
            <w:tcBorders>
              <w:top w:val="single" w:sz="6" w:space="0" w:color="000000"/>
            </w:tcBorders>
            <w:tcMar>
              <w:top w:w="0" w:type="dxa"/>
              <w:left w:w="40" w:type="dxa"/>
              <w:bottom w:w="0" w:type="dxa"/>
              <w:right w:w="40" w:type="dxa"/>
            </w:tcMar>
          </w:tcPr>
          <w:p w14:paraId="65BB371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tcBorders>
            <w:tcMar>
              <w:top w:w="0" w:type="dxa"/>
              <w:left w:w="40" w:type="dxa"/>
              <w:bottom w:w="0" w:type="dxa"/>
              <w:right w:w="40" w:type="dxa"/>
            </w:tcMar>
          </w:tcPr>
          <w:p w14:paraId="5A3E260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267</w:t>
            </w:r>
          </w:p>
        </w:tc>
        <w:tc>
          <w:tcPr>
            <w:tcW w:w="4455" w:type="dxa"/>
            <w:tcBorders>
              <w:top w:val="single" w:sz="6" w:space="0" w:color="000000"/>
            </w:tcBorders>
            <w:tcMar>
              <w:top w:w="0" w:type="dxa"/>
              <w:left w:w="40" w:type="dxa"/>
              <w:bottom w:w="0" w:type="dxa"/>
              <w:right w:w="40" w:type="dxa"/>
            </w:tcMar>
          </w:tcPr>
          <w:p w14:paraId="1D45DA3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Menopausal women seek greater support from employers and managers. Participants highlighted the need for policies and practices that recognize and address menopause-related challenges, including flexible working arrangements and improved communication. They also expressed a desire for safe spaces to voice concerns and suggest improvements.</w:t>
            </w:r>
          </w:p>
        </w:tc>
        <w:tc>
          <w:tcPr>
            <w:tcW w:w="1290" w:type="dxa"/>
          </w:tcPr>
          <w:p w14:paraId="1BD183F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w:t>
            </w:r>
          </w:p>
          <w:p w14:paraId="4FC06A9A" w14:textId="77777777" w:rsidR="00BC16EB" w:rsidRDefault="00BC16EB">
            <w:pPr>
              <w:spacing w:line="480" w:lineRule="auto"/>
              <w:rPr>
                <w:rFonts w:ascii="Times New Roman" w:eastAsia="Times New Roman" w:hAnsi="Times New Roman" w:cs="Times New Roman"/>
                <w:sz w:val="18"/>
                <w:szCs w:val="18"/>
              </w:rPr>
            </w:pPr>
          </w:p>
        </w:tc>
        <w:tc>
          <w:tcPr>
            <w:tcW w:w="1005" w:type="dxa"/>
            <w:tcBorders>
              <w:top w:val="single" w:sz="6" w:space="0" w:color="000000"/>
            </w:tcBorders>
            <w:tcMar>
              <w:top w:w="0" w:type="dxa"/>
              <w:left w:w="40" w:type="dxa"/>
              <w:bottom w:w="0" w:type="dxa"/>
              <w:right w:w="40" w:type="dxa"/>
            </w:tcMar>
          </w:tcPr>
          <w:p w14:paraId="23C687E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Netherland</w:t>
            </w:r>
          </w:p>
        </w:tc>
      </w:tr>
      <w:tr w:rsidR="00BC16EB" w14:paraId="05751166" w14:textId="77777777">
        <w:trPr>
          <w:trHeight w:val="440"/>
        </w:trPr>
        <w:tc>
          <w:tcPr>
            <w:tcW w:w="525" w:type="dxa"/>
            <w:tcMar>
              <w:top w:w="100" w:type="dxa"/>
              <w:left w:w="100" w:type="dxa"/>
              <w:bottom w:w="100" w:type="dxa"/>
              <w:right w:w="100" w:type="dxa"/>
            </w:tcMar>
          </w:tcPr>
          <w:p w14:paraId="75B1E77B"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73</w:t>
            </w:r>
          </w:p>
        </w:tc>
        <w:tc>
          <w:tcPr>
            <w:tcW w:w="990" w:type="dxa"/>
            <w:tcBorders>
              <w:right w:val="single" w:sz="6" w:space="0" w:color="000000"/>
            </w:tcBorders>
          </w:tcPr>
          <w:p w14:paraId="450A53D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83E55C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Steffan, B.</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A6CF5B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"Managing menopause at work: The contradictory nature of identity talk"</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11AC86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Wiley</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B86818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224637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21</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908F8B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findings indicate that women navigate conflicting behaviours regarding their menopausal bodies at work. On one hand, they adopt a resilient, neoliberal mindset focused on managing symptoms. On the other hand, they engage in negative self-talk about their identities in relation to menopause. The article emphasises the need for nuanced research on how menopause impacts women's work experiences, urging organizations to understand individual </w:t>
            </w:r>
            <w:r>
              <w:rPr>
                <w:rFonts w:ascii="Times New Roman" w:eastAsia="Times New Roman" w:hAnsi="Times New Roman" w:cs="Times New Roman"/>
                <w:sz w:val="18"/>
                <w:szCs w:val="18"/>
              </w:rPr>
              <w:lastRenderedPageBreak/>
              <w:t>needs rather than relying on generic anti-aging narratives. It argues that menopause management should consider the diverse symptoms women face, as one-size-fits-all HR policies may be ineffective. The topic remains taboo, often leading women to confront it privately, which negatively affects their identities in male-dominated work environments. Participants seem to reinforce the notion that menopause must be “dealt with” or “fixed” outside of the workplace.</w:t>
            </w:r>
          </w:p>
        </w:tc>
        <w:tc>
          <w:tcPr>
            <w:tcW w:w="1290" w:type="dxa"/>
            <w:tcBorders>
              <w:left w:val="single" w:sz="6" w:space="0" w:color="000000"/>
            </w:tcBorders>
          </w:tcPr>
          <w:p w14:paraId="383A6391"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Semi-structured interview</w:t>
            </w:r>
          </w:p>
          <w:p w14:paraId="330A7869" w14:textId="77777777" w:rsidR="00BC16EB" w:rsidRDefault="00BC16EB">
            <w:pPr>
              <w:spacing w:line="480" w:lineRule="auto"/>
              <w:rPr>
                <w:rFonts w:ascii="Times New Roman" w:eastAsia="Times New Roman" w:hAnsi="Times New Roman" w:cs="Times New Roman"/>
                <w:sz w:val="18"/>
                <w:szCs w:val="18"/>
              </w:rPr>
            </w:pP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3BA199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046B39F1" w14:textId="77777777">
        <w:trPr>
          <w:trHeight w:val="440"/>
        </w:trPr>
        <w:tc>
          <w:tcPr>
            <w:tcW w:w="525" w:type="dxa"/>
            <w:tcMar>
              <w:top w:w="100" w:type="dxa"/>
              <w:left w:w="100" w:type="dxa"/>
              <w:bottom w:w="100" w:type="dxa"/>
              <w:right w:w="100" w:type="dxa"/>
            </w:tcMar>
          </w:tcPr>
          <w:p w14:paraId="77293178"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74</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25BCA60"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left w:val="single" w:sz="6" w:space="0" w:color="000000"/>
              <w:bottom w:val="single" w:sz="6" w:space="0" w:color="000000"/>
              <w:right w:val="single" w:sz="6" w:space="0" w:color="000000"/>
            </w:tcBorders>
            <w:tcMar>
              <w:top w:w="0" w:type="dxa"/>
              <w:left w:w="40" w:type="dxa"/>
              <w:bottom w:w="0" w:type="dxa"/>
              <w:right w:w="40" w:type="dxa"/>
            </w:tcMar>
          </w:tcPr>
          <w:p w14:paraId="166F691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Atkinson, C., Carmichael, F., Duberley, J.</w:t>
            </w:r>
          </w:p>
        </w:tc>
        <w:tc>
          <w:tcPr>
            <w:tcW w:w="1770" w:type="dxa"/>
            <w:tcBorders>
              <w:left w:val="single" w:sz="6" w:space="0" w:color="000000"/>
              <w:bottom w:val="single" w:sz="6" w:space="0" w:color="000000"/>
              <w:right w:val="single" w:sz="6" w:space="0" w:color="000000"/>
            </w:tcBorders>
            <w:tcMar>
              <w:top w:w="0" w:type="dxa"/>
              <w:left w:w="40" w:type="dxa"/>
              <w:bottom w:w="0" w:type="dxa"/>
              <w:right w:w="40" w:type="dxa"/>
            </w:tcMar>
          </w:tcPr>
          <w:p w14:paraId="4B1E80C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Menopause Taboo at Work: Examining Women’s Embodied Experiences of Menopause in the UK Police Service</w:t>
            </w:r>
          </w:p>
        </w:tc>
        <w:tc>
          <w:tcPr>
            <w:tcW w:w="1065" w:type="dxa"/>
            <w:tcBorders>
              <w:left w:val="single" w:sz="6" w:space="0" w:color="000000"/>
              <w:bottom w:val="single" w:sz="6" w:space="0" w:color="000000"/>
              <w:right w:val="single" w:sz="6" w:space="0" w:color="000000"/>
            </w:tcBorders>
            <w:tcMar>
              <w:top w:w="0" w:type="dxa"/>
              <w:left w:w="40" w:type="dxa"/>
              <w:bottom w:w="0" w:type="dxa"/>
              <w:right w:w="40" w:type="dxa"/>
            </w:tcMar>
          </w:tcPr>
          <w:p w14:paraId="6C3E32D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SageJournals</w:t>
            </w:r>
          </w:p>
        </w:tc>
        <w:tc>
          <w:tcPr>
            <w:tcW w:w="1710" w:type="dxa"/>
            <w:tcBorders>
              <w:left w:val="single" w:sz="6" w:space="0" w:color="000000"/>
              <w:bottom w:val="single" w:sz="6" w:space="0" w:color="000000"/>
              <w:right w:val="single" w:sz="6" w:space="0" w:color="000000"/>
            </w:tcBorders>
            <w:tcMar>
              <w:top w:w="0" w:type="dxa"/>
              <w:left w:w="40" w:type="dxa"/>
              <w:bottom w:w="0" w:type="dxa"/>
              <w:right w:w="40" w:type="dxa"/>
            </w:tcMar>
          </w:tcPr>
          <w:p w14:paraId="2931744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left w:val="single" w:sz="6" w:space="0" w:color="000000"/>
              <w:bottom w:val="single" w:sz="6" w:space="0" w:color="000000"/>
              <w:right w:val="single" w:sz="6" w:space="0" w:color="000000"/>
            </w:tcBorders>
            <w:tcMar>
              <w:top w:w="0" w:type="dxa"/>
              <w:left w:w="40" w:type="dxa"/>
              <w:bottom w:w="0" w:type="dxa"/>
              <w:right w:w="40" w:type="dxa"/>
            </w:tcMar>
          </w:tcPr>
          <w:p w14:paraId="6947236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197</w:t>
            </w:r>
          </w:p>
        </w:tc>
        <w:tc>
          <w:tcPr>
            <w:tcW w:w="4455" w:type="dxa"/>
            <w:tcBorders>
              <w:left w:val="single" w:sz="6" w:space="0" w:color="000000"/>
              <w:bottom w:val="single" w:sz="6" w:space="0" w:color="000000"/>
              <w:right w:val="single" w:sz="6" w:space="0" w:color="000000"/>
            </w:tcBorders>
            <w:tcMar>
              <w:top w:w="0" w:type="dxa"/>
              <w:left w:w="40" w:type="dxa"/>
              <w:bottom w:w="0" w:type="dxa"/>
              <w:right w:w="40" w:type="dxa"/>
            </w:tcMar>
          </w:tcPr>
          <w:p w14:paraId="6926358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This article demonstrates the intricate web woven by intersections of age and gender as reflected in women’s embodied experiences of menopause and demonstrates the importance of an approach to embodiment that captures age.</w:t>
            </w:r>
          </w:p>
          <w:p w14:paraId="79E079B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Menopause symptoms were a marker of older, female bodies and negative attitudes about older women’s capability and contribution abounded and created reluctance to disclose.</w:t>
            </w:r>
          </w:p>
        </w:tc>
        <w:tc>
          <w:tcPr>
            <w:tcW w:w="1290" w:type="dxa"/>
            <w:tcBorders>
              <w:left w:val="single" w:sz="6" w:space="0" w:color="000000"/>
              <w:right w:val="single" w:sz="6" w:space="0" w:color="000000"/>
            </w:tcBorders>
            <w:tcMar>
              <w:top w:w="0" w:type="dxa"/>
              <w:left w:w="40" w:type="dxa"/>
              <w:bottom w:w="0" w:type="dxa"/>
              <w:right w:w="40" w:type="dxa"/>
            </w:tcMar>
          </w:tcPr>
          <w:p w14:paraId="33A992F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Online survey</w:t>
            </w:r>
          </w:p>
        </w:tc>
        <w:tc>
          <w:tcPr>
            <w:tcW w:w="1005" w:type="dxa"/>
            <w:tcBorders>
              <w:left w:val="single" w:sz="6" w:space="0" w:color="000000"/>
              <w:bottom w:val="single" w:sz="6" w:space="0" w:color="000000"/>
              <w:right w:val="single" w:sz="6" w:space="0" w:color="000000"/>
            </w:tcBorders>
            <w:tcMar>
              <w:top w:w="0" w:type="dxa"/>
              <w:left w:w="40" w:type="dxa"/>
              <w:bottom w:w="0" w:type="dxa"/>
              <w:right w:w="40" w:type="dxa"/>
            </w:tcMar>
          </w:tcPr>
          <w:p w14:paraId="0B778D0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4B32C163" w14:textId="77777777">
        <w:trPr>
          <w:trHeight w:val="440"/>
        </w:trPr>
        <w:tc>
          <w:tcPr>
            <w:tcW w:w="525" w:type="dxa"/>
            <w:tcMar>
              <w:top w:w="100" w:type="dxa"/>
              <w:left w:w="100" w:type="dxa"/>
              <w:bottom w:w="100" w:type="dxa"/>
              <w:right w:w="100" w:type="dxa"/>
            </w:tcMar>
          </w:tcPr>
          <w:p w14:paraId="209A7C96"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75</w:t>
            </w:r>
          </w:p>
        </w:tc>
        <w:tc>
          <w:tcPr>
            <w:tcW w:w="990" w:type="dxa"/>
            <w:tcBorders>
              <w:top w:val="single" w:sz="6" w:space="0" w:color="000000"/>
              <w:right w:val="single" w:sz="6" w:space="0" w:color="000000"/>
            </w:tcBorders>
          </w:tcPr>
          <w:p w14:paraId="61AA5C8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FABD52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Beck, V. A., Brewis, J., &amp; Davies, A</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E1CD83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Women's experiences of menopause at work and performance </w:t>
            </w:r>
            <w:r>
              <w:rPr>
                <w:rFonts w:ascii="Times New Roman" w:eastAsia="Times New Roman" w:hAnsi="Times New Roman" w:cs="Times New Roman"/>
                <w:sz w:val="18"/>
                <w:szCs w:val="18"/>
              </w:rPr>
              <w:lastRenderedPageBreak/>
              <w:t>management</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39E8AE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SageJournals</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4443F4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93C3B7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5399</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6C238A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Challenges remain in normalising menopause in organisations, specifically around gendered ageism and performance management. We highlight how policies are </w:t>
            </w:r>
            <w:r>
              <w:rPr>
                <w:rFonts w:ascii="Times New Roman" w:eastAsia="Times New Roman" w:hAnsi="Times New Roman" w:cs="Times New Roman"/>
                <w:sz w:val="18"/>
                <w:szCs w:val="18"/>
              </w:rPr>
              <w:lastRenderedPageBreak/>
              <w:t>both vital and yet insufficient in and of themselves in revising the dominant discourse around menopause at work. At the same time, we highlight the importance and shortcomings of academic activism within these processes.</w:t>
            </w:r>
          </w:p>
          <w:p w14:paraId="4404DC4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Equally, older female workers’ abilities are often underestimated and they can either feel invisible or, in contrast, ‘hyper-exposed’. Subsequent presentations confirmed a demand to challenge the taboo surrounding menopause in a range of workplaces.</w:t>
            </w:r>
          </w:p>
        </w:tc>
        <w:tc>
          <w:tcPr>
            <w:tcW w:w="1290" w:type="dxa"/>
            <w:tcBorders>
              <w:left w:val="single" w:sz="6" w:space="0" w:color="000000"/>
            </w:tcBorders>
          </w:tcPr>
          <w:p w14:paraId="09844A32"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Interviews</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31F19E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6D9AA9B5" w14:textId="77777777">
        <w:trPr>
          <w:trHeight w:val="440"/>
        </w:trPr>
        <w:tc>
          <w:tcPr>
            <w:tcW w:w="525" w:type="dxa"/>
            <w:tcMar>
              <w:top w:w="100" w:type="dxa"/>
              <w:left w:w="100" w:type="dxa"/>
              <w:bottom w:w="100" w:type="dxa"/>
              <w:right w:w="100" w:type="dxa"/>
            </w:tcMar>
          </w:tcPr>
          <w:p w14:paraId="7531CB74"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76</w:t>
            </w:r>
          </w:p>
        </w:tc>
        <w:tc>
          <w:tcPr>
            <w:tcW w:w="990" w:type="dxa"/>
            <w:tcBorders>
              <w:right w:val="single" w:sz="6" w:space="0" w:color="000000"/>
            </w:tcBorders>
          </w:tcPr>
          <w:p w14:paraId="12570ED7"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0E0FE9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Riach, K., &amp; Jack, G.</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29387F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Women’s health in/and work: menopause as an intersectional experience</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0D4403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International Journal of Environmental Research and Public Health</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9B12366"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BA7E59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1929 open-text responses</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31F63B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findings highlight the value of an intersectional approach in situating menopausal</w:t>
            </w:r>
          </w:p>
          <w:p w14:paraId="164039C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inequality not as an individual condition, but rather, problematizing it through the enduring imprint of gendered aged expectations within broader historical and sector-base foundations that subsequently organize working women’s menopausal experience. In the study, three positions emerged. First, many women felt that menopause was a wholly private issue and wanted it to be kept separate from the workplace. Second were women who wanted it to be part of an explicit conversation and range of support </w:t>
            </w:r>
            <w:r>
              <w:rPr>
                <w:rFonts w:ascii="Times New Roman" w:eastAsia="Times New Roman" w:hAnsi="Times New Roman" w:cs="Times New Roman"/>
                <w:sz w:val="18"/>
                <w:szCs w:val="18"/>
              </w:rPr>
              <w:lastRenderedPageBreak/>
              <w:t>mechanisms. Third was a group who wanted to feel supported working throughout their menopausal years, but also not feel that they must have their menopausal status ‘outed’ in order to access this support.</w:t>
            </w:r>
          </w:p>
        </w:tc>
        <w:tc>
          <w:tcPr>
            <w:tcW w:w="1290" w:type="dxa"/>
            <w:tcBorders>
              <w:left w:val="single" w:sz="6" w:space="0" w:color="000000"/>
            </w:tcBorders>
          </w:tcPr>
          <w:p w14:paraId="38F5048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Open-text survey</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ABB46D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Australia</w:t>
            </w:r>
          </w:p>
        </w:tc>
      </w:tr>
      <w:tr w:rsidR="00BC16EB" w14:paraId="293CF37E" w14:textId="77777777">
        <w:trPr>
          <w:trHeight w:val="440"/>
        </w:trPr>
        <w:tc>
          <w:tcPr>
            <w:tcW w:w="525" w:type="dxa"/>
            <w:tcMar>
              <w:top w:w="100" w:type="dxa"/>
              <w:left w:w="100" w:type="dxa"/>
              <w:bottom w:w="100" w:type="dxa"/>
              <w:right w:w="100" w:type="dxa"/>
            </w:tcMar>
          </w:tcPr>
          <w:p w14:paraId="616D76A5"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77</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F6D756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2022</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53CD11E"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Verdonk, P. Bendiena, E. &amp; Appelman, Y.</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92F65A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Menopause and work: A narrative literature review about menopause, work and health</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A5BBE3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IOS Press</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C9E0CB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Systematic Review</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659B6A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69</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AC1AC3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Results are grouped thematically as follows: Menopause and (1) a lack of recognising; (2) sickness absence and costs; (3) work ability; (4) job characteristics; (5) psychosocial and cultural factors; (6) health; (7) mental health, and (8) coping and interventions. Work ability of women with severe menopausal complaints may be negatively affected</w:t>
            </w:r>
          </w:p>
          <w:p w14:paraId="52F7A71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Menopause is hardly discussed in the workplace, which is related to the taboos surrounding menopause, as well as to the lack of knowledge by the women themselves, health care professionals and employers. Women remain silent about their menopausal complaints (taboo) and seek individual solutions to cope with work.</w:t>
            </w:r>
          </w:p>
        </w:tc>
        <w:tc>
          <w:tcPr>
            <w:tcW w:w="1290" w:type="dxa"/>
            <w:tcBorders>
              <w:left w:val="single" w:sz="6" w:space="0" w:color="000000"/>
              <w:right w:val="single" w:sz="6" w:space="0" w:color="000000"/>
            </w:tcBorders>
            <w:tcMar>
              <w:top w:w="0" w:type="dxa"/>
              <w:left w:w="40" w:type="dxa"/>
              <w:bottom w:w="0" w:type="dxa"/>
              <w:right w:w="40" w:type="dxa"/>
            </w:tcMar>
          </w:tcPr>
          <w:p w14:paraId="01D3298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Narrative literature</w:t>
            </w:r>
          </w:p>
          <w:p w14:paraId="1CEBFA2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review</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3E87E2B"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Netherlands</w:t>
            </w:r>
          </w:p>
        </w:tc>
      </w:tr>
      <w:tr w:rsidR="00BC16EB" w14:paraId="636B415E" w14:textId="77777777">
        <w:trPr>
          <w:trHeight w:val="440"/>
        </w:trPr>
        <w:tc>
          <w:tcPr>
            <w:tcW w:w="525" w:type="dxa"/>
            <w:tcMar>
              <w:top w:w="100" w:type="dxa"/>
              <w:left w:w="100" w:type="dxa"/>
              <w:bottom w:w="100" w:type="dxa"/>
              <w:right w:w="100" w:type="dxa"/>
            </w:tcMar>
          </w:tcPr>
          <w:p w14:paraId="2255E146"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78</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3AFEC4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F0771C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Rowson, J S., Jaworska, S., Gibas, I.</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BA5866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Hot topic: Examining discursive representations of menopause and work </w:t>
            </w:r>
            <w:r>
              <w:rPr>
                <w:rFonts w:ascii="Times New Roman" w:eastAsia="Times New Roman" w:hAnsi="Times New Roman" w:cs="Times New Roman"/>
                <w:sz w:val="18"/>
                <w:szCs w:val="18"/>
              </w:rPr>
              <w:lastRenderedPageBreak/>
              <w:t>in the British media</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8233CA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Wiley</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ADB5F2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CDD949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 = 2993 articles</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B9A144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results indicate increased attention to menopause and, more recently, to menopause and work. However, the narrative consistently foregrounds negative aspects associated with dysfunction, decline, and unpredictable </w:t>
            </w:r>
            <w:r>
              <w:rPr>
                <w:rFonts w:ascii="Times New Roman" w:eastAsia="Times New Roman" w:hAnsi="Times New Roman" w:cs="Times New Roman"/>
                <w:sz w:val="18"/>
                <w:szCs w:val="18"/>
              </w:rPr>
              <w:lastRenderedPageBreak/>
              <w:t>behaviour, especially around litigation. These discursive representations reinforce the stigma around menopause by constructing women at this stage of life as the dangerous other, affected by physical and mental abnormalities. For women not to be disadvantaged at work, menopause representations must be more balanced by including more positive stories. Our study offers insights that can be of relevance to emerging workplace policies and assist the media in communicating the issues of menopause and work. We a</w:t>
            </w:r>
            <w:r>
              <w:rPr>
                <w:rFonts w:ascii="Times New Roman" w:eastAsia="Times New Roman" w:hAnsi="Times New Roman" w:cs="Times New Roman"/>
                <w:sz w:val="18"/>
                <w:szCs w:val="18"/>
              </w:rPr>
              <w:t>lso make a methodological contribution by taking the CADS approach to explore empirically and systematically the dominant discourses around menopause in the UK mainstream media just over the last decade.</w:t>
            </w:r>
          </w:p>
          <w:p w14:paraId="31090D9C"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Our analysis shows a perpetuation of a negative and stigmatising discourse firmly embedded within the biomedical perspective that exacerbates the taboo and the decline and dysfunction narratives around menopause.</w:t>
            </w:r>
          </w:p>
        </w:tc>
        <w:tc>
          <w:tcPr>
            <w:tcW w:w="1290" w:type="dxa"/>
            <w:tcBorders>
              <w:left w:val="single" w:sz="6" w:space="0" w:color="000000"/>
              <w:right w:val="single" w:sz="6" w:space="0" w:color="000000"/>
            </w:tcBorders>
            <w:tcMar>
              <w:top w:w="0" w:type="dxa"/>
              <w:left w:w="40" w:type="dxa"/>
              <w:bottom w:w="0" w:type="dxa"/>
              <w:right w:w="40" w:type="dxa"/>
            </w:tcMar>
          </w:tcPr>
          <w:p w14:paraId="435BF263"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Content analysis study</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96E9C3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1D4615C2" w14:textId="77777777">
        <w:trPr>
          <w:trHeight w:val="440"/>
        </w:trPr>
        <w:tc>
          <w:tcPr>
            <w:tcW w:w="525" w:type="dxa"/>
            <w:tcMar>
              <w:top w:w="100" w:type="dxa"/>
              <w:left w:w="100" w:type="dxa"/>
              <w:bottom w:w="100" w:type="dxa"/>
              <w:right w:w="100" w:type="dxa"/>
            </w:tcMar>
          </w:tcPr>
          <w:p w14:paraId="24B7A21F"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79</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3D3331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2023</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85CADA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Whiley, L. A., Wright, A., </w:t>
            </w:r>
            <w:r>
              <w:rPr>
                <w:rFonts w:ascii="Times New Roman" w:eastAsia="Times New Roman" w:hAnsi="Times New Roman" w:cs="Times New Roman"/>
                <w:sz w:val="18"/>
                <w:szCs w:val="18"/>
              </w:rPr>
              <w:lastRenderedPageBreak/>
              <w:t>Stutterheim, S. E., &amp; Grandy, G.</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67FFDB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“A part of being a woman, really”: Menopause at work as </w:t>
            </w:r>
            <w:r>
              <w:rPr>
                <w:rFonts w:ascii="Times New Roman" w:eastAsia="Times New Roman" w:hAnsi="Times New Roman" w:cs="Times New Roman"/>
                <w:sz w:val="18"/>
                <w:szCs w:val="18"/>
              </w:rPr>
              <w:lastRenderedPageBreak/>
              <w:t>“dirty” femininity</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735724F"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Gender, Work &amp; Organization</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86EFAD7"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49A088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 = 6 women with lived experience of </w:t>
            </w:r>
            <w:r>
              <w:rPr>
                <w:rFonts w:ascii="Times New Roman" w:eastAsia="Times New Roman" w:hAnsi="Times New Roman" w:cs="Times New Roman"/>
                <w:sz w:val="18"/>
                <w:szCs w:val="18"/>
              </w:rPr>
              <w:lastRenderedPageBreak/>
              <w:t>menopause were recruited</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4454D8D"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In theorising menopause as “dirty” femininity and femme performance, both the stigmatising effects of menopause at work and the opportunity to reclaim femininity in-and-for-</w:t>
            </w:r>
            <w:r>
              <w:rPr>
                <w:rFonts w:ascii="Times New Roman" w:eastAsia="Times New Roman" w:hAnsi="Times New Roman" w:cs="Times New Roman"/>
                <w:sz w:val="18"/>
                <w:szCs w:val="18"/>
              </w:rPr>
              <w:lastRenderedPageBreak/>
              <w:t>itself are elucidated. Second, conceptually and empirically, it is argued that menopause at work (and women experiencing it) represents both material and symbolic “dirt”, thereby stigmatising women. Third, our research contributes to the emerging field of critical femininities within gender studies.</w:t>
            </w:r>
          </w:p>
          <w:p w14:paraId="61BCEA6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Menopause was socially taboo and unspeakable at the workplace, especially with male colleagues or younger coworkers.</w:t>
            </w:r>
          </w:p>
        </w:tc>
        <w:tc>
          <w:tcPr>
            <w:tcW w:w="1290" w:type="dxa"/>
            <w:tcBorders>
              <w:left w:val="single" w:sz="6" w:space="0" w:color="000000"/>
              <w:right w:val="single" w:sz="6" w:space="0" w:color="000000"/>
            </w:tcBorders>
            <w:tcMar>
              <w:top w:w="0" w:type="dxa"/>
              <w:left w:w="40" w:type="dxa"/>
              <w:bottom w:w="0" w:type="dxa"/>
              <w:right w:w="40" w:type="dxa"/>
            </w:tcMar>
          </w:tcPr>
          <w:p w14:paraId="27790C2B" w14:textId="77777777" w:rsidR="00BC16EB" w:rsidRDefault="005714A1">
            <w:pPr>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Interviews</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9D4A18A"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668A3D8E" w14:textId="77777777">
        <w:trPr>
          <w:trHeight w:val="440"/>
        </w:trPr>
        <w:tc>
          <w:tcPr>
            <w:tcW w:w="525" w:type="dxa"/>
            <w:tcMar>
              <w:top w:w="100" w:type="dxa"/>
              <w:left w:w="100" w:type="dxa"/>
              <w:bottom w:w="100" w:type="dxa"/>
              <w:right w:w="100" w:type="dxa"/>
            </w:tcMar>
          </w:tcPr>
          <w:p w14:paraId="24BD7929"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80</w:t>
            </w:r>
          </w:p>
        </w:tc>
        <w:tc>
          <w:tcPr>
            <w:tcW w:w="990" w:type="dxa"/>
            <w:tcBorders>
              <w:bottom w:val="single" w:sz="6" w:space="0" w:color="000000"/>
            </w:tcBorders>
            <w:tcMar>
              <w:top w:w="0" w:type="dxa"/>
              <w:left w:w="40" w:type="dxa"/>
              <w:bottom w:w="0" w:type="dxa"/>
              <w:right w:w="40" w:type="dxa"/>
            </w:tcMar>
          </w:tcPr>
          <w:p w14:paraId="13DDF0E4"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2024</w:t>
            </w:r>
          </w:p>
        </w:tc>
        <w:tc>
          <w:tcPr>
            <w:tcW w:w="1110" w:type="dxa"/>
            <w:tcBorders>
              <w:bottom w:val="single" w:sz="6" w:space="0" w:color="000000"/>
            </w:tcBorders>
            <w:tcMar>
              <w:top w:w="0" w:type="dxa"/>
              <w:left w:w="40" w:type="dxa"/>
              <w:bottom w:w="0" w:type="dxa"/>
              <w:right w:w="40" w:type="dxa"/>
            </w:tcMar>
          </w:tcPr>
          <w:p w14:paraId="446F09E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Hobson G, Dennis N.</w:t>
            </w:r>
          </w:p>
        </w:tc>
        <w:tc>
          <w:tcPr>
            <w:tcW w:w="1770" w:type="dxa"/>
            <w:tcBorders>
              <w:bottom w:val="single" w:sz="6" w:space="0" w:color="000000"/>
            </w:tcBorders>
            <w:tcMar>
              <w:top w:w="0" w:type="dxa"/>
              <w:left w:w="40" w:type="dxa"/>
              <w:bottom w:w="0" w:type="dxa"/>
              <w:right w:w="40" w:type="dxa"/>
            </w:tcMar>
          </w:tcPr>
          <w:p w14:paraId="72DAFFA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 can't be dealing with this brain fog": A workplace focus group study investigating factors underpinning the menopausal experience for NHS staff</w:t>
            </w:r>
          </w:p>
        </w:tc>
        <w:tc>
          <w:tcPr>
            <w:tcW w:w="1065" w:type="dxa"/>
            <w:tcBorders>
              <w:bottom w:val="single" w:sz="6" w:space="0" w:color="000000"/>
            </w:tcBorders>
            <w:tcMar>
              <w:top w:w="0" w:type="dxa"/>
              <w:left w:w="40" w:type="dxa"/>
              <w:bottom w:w="0" w:type="dxa"/>
              <w:right w:w="40" w:type="dxa"/>
            </w:tcMar>
          </w:tcPr>
          <w:p w14:paraId="568DF69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Maturitas</w:t>
            </w:r>
          </w:p>
        </w:tc>
        <w:tc>
          <w:tcPr>
            <w:tcW w:w="1710" w:type="dxa"/>
            <w:tcBorders>
              <w:bottom w:val="single" w:sz="6" w:space="0" w:color="000000"/>
            </w:tcBorders>
            <w:tcMar>
              <w:top w:w="0" w:type="dxa"/>
              <w:left w:w="40" w:type="dxa"/>
              <w:bottom w:w="0" w:type="dxa"/>
              <w:right w:w="40" w:type="dxa"/>
            </w:tcMar>
          </w:tcPr>
          <w:p w14:paraId="1F38F75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bottom w:val="single" w:sz="6" w:space="0" w:color="000000"/>
            </w:tcBorders>
            <w:tcMar>
              <w:top w:w="0" w:type="dxa"/>
              <w:left w:w="40" w:type="dxa"/>
              <w:bottom w:w="0" w:type="dxa"/>
              <w:right w:w="40" w:type="dxa"/>
            </w:tcMar>
          </w:tcPr>
          <w:p w14:paraId="67747B5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4455" w:type="dxa"/>
            <w:tcBorders>
              <w:bottom w:val="single" w:sz="6" w:space="0" w:color="000000"/>
            </w:tcBorders>
            <w:tcMar>
              <w:top w:w="0" w:type="dxa"/>
              <w:left w:w="40" w:type="dxa"/>
              <w:bottom w:w="0" w:type="dxa"/>
              <w:right w:w="40" w:type="dxa"/>
            </w:tcMar>
          </w:tcPr>
          <w:p w14:paraId="7AACE38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Employers have a key role in supporting their staff experiencing menopausal symptoms, and such</w:t>
            </w:r>
          </w:p>
          <w:p w14:paraId="55A1252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support has the potential to reduce sickness absence and boost retention. Based on the findings we recommend</w:t>
            </w:r>
          </w:p>
          <w:p w14:paraId="221B401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creating an open culture to break down taboos; protected time for peer support around shared experiences and</w:t>
            </w:r>
          </w:p>
          <w:p w14:paraId="0A762339"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effective symptom management techniques; and maximising the impact of non-menopause-specific policies such</w:t>
            </w:r>
          </w:p>
          <w:p w14:paraId="7132010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 flexible working to help all staff manage fatigue and become more productive in their roles.</w:t>
            </w:r>
          </w:p>
        </w:tc>
        <w:tc>
          <w:tcPr>
            <w:tcW w:w="1290" w:type="dxa"/>
          </w:tcPr>
          <w:p w14:paraId="265E095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Focus groups</w:t>
            </w:r>
          </w:p>
        </w:tc>
        <w:tc>
          <w:tcPr>
            <w:tcW w:w="1005" w:type="dxa"/>
            <w:tcBorders>
              <w:bottom w:val="single" w:sz="6" w:space="0" w:color="000000"/>
            </w:tcBorders>
            <w:tcMar>
              <w:top w:w="0" w:type="dxa"/>
              <w:left w:w="40" w:type="dxa"/>
              <w:bottom w:w="0" w:type="dxa"/>
              <w:right w:w="40" w:type="dxa"/>
            </w:tcMar>
          </w:tcPr>
          <w:p w14:paraId="00981C8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r w:rsidR="00BC16EB" w14:paraId="340684FC" w14:textId="77777777">
        <w:trPr>
          <w:trHeight w:val="440"/>
        </w:trPr>
        <w:tc>
          <w:tcPr>
            <w:tcW w:w="525" w:type="dxa"/>
            <w:tcMar>
              <w:top w:w="100" w:type="dxa"/>
              <w:left w:w="100" w:type="dxa"/>
              <w:bottom w:w="100" w:type="dxa"/>
              <w:right w:w="100" w:type="dxa"/>
            </w:tcMar>
          </w:tcPr>
          <w:p w14:paraId="60684F5F" w14:textId="77777777" w:rsidR="00BC16EB" w:rsidRDefault="005714A1">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81</w:t>
            </w:r>
          </w:p>
        </w:tc>
        <w:tc>
          <w:tcPr>
            <w:tcW w:w="99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CB9CC3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2024</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EDB8E7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Steffan, B., &amp; Loretto, W. </w:t>
            </w:r>
          </w:p>
        </w:tc>
        <w:tc>
          <w:tcPr>
            <w:tcW w:w="17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7F4CE62"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Menopause, work and mid‐life: Challenging the ideal worker stereotype. </w:t>
            </w:r>
          </w:p>
        </w:tc>
        <w:tc>
          <w:tcPr>
            <w:tcW w:w="106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59E6210"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i/>
                <w:sz w:val="18"/>
                <w:szCs w:val="18"/>
              </w:rPr>
              <w:t>Gender, Work &amp; Organization</w:t>
            </w:r>
          </w:p>
        </w:tc>
        <w:tc>
          <w:tcPr>
            <w:tcW w:w="17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824DF33"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Qualitative Study</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99363C5"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N=80</w:t>
            </w:r>
          </w:p>
        </w:tc>
        <w:tc>
          <w:tcPr>
            <w:tcW w:w="445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66757E8" w14:textId="77777777" w:rsidR="00BC16EB" w:rsidRDefault="005714A1">
            <w:pPr>
              <w:widowControl w:val="0"/>
              <w:spacing w:before="240" w:after="240"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study shows that menopause intersects with work, health and family in complex ways, leading to a paradox where women both challenge and constrain the stereotype of the "ideal worker". Women often feel compelled to hide the symptoms of menopause in order to conform to professional norms characterized by ageism and gendered expectations, especially in workplaces that are male-dominated or youth-centric. However, some women are using menopause as a catalyst to reshape their professional identity and advoca</w:t>
            </w:r>
            <w:r>
              <w:rPr>
                <w:rFonts w:ascii="Times New Roman" w:eastAsia="Times New Roman" w:hAnsi="Times New Roman" w:cs="Times New Roman"/>
                <w:sz w:val="18"/>
                <w:szCs w:val="18"/>
              </w:rPr>
              <w:t>te for a more inclusive workplace culture. The ability to challenge ideal work norms is largely dependent on the support and culture of the organization, highlighting the need for systemic change to support midlife women in the workplace.</w:t>
            </w:r>
          </w:p>
          <w:p w14:paraId="45A422DE" w14:textId="77777777" w:rsidR="00BC16EB" w:rsidRDefault="00BC16EB">
            <w:pPr>
              <w:widowControl w:val="0"/>
              <w:spacing w:line="480" w:lineRule="auto"/>
              <w:rPr>
                <w:rFonts w:ascii="Times New Roman" w:eastAsia="Times New Roman" w:hAnsi="Times New Roman" w:cs="Times New Roman"/>
                <w:sz w:val="18"/>
                <w:szCs w:val="18"/>
              </w:rPr>
            </w:pPr>
          </w:p>
        </w:tc>
        <w:tc>
          <w:tcPr>
            <w:tcW w:w="1290" w:type="dxa"/>
            <w:tcBorders>
              <w:left w:val="single" w:sz="6" w:space="0" w:color="000000"/>
              <w:right w:val="single" w:sz="6" w:space="0" w:color="000000"/>
            </w:tcBorders>
            <w:tcMar>
              <w:top w:w="0" w:type="dxa"/>
              <w:left w:w="40" w:type="dxa"/>
              <w:bottom w:w="0" w:type="dxa"/>
              <w:right w:w="40" w:type="dxa"/>
            </w:tcMar>
          </w:tcPr>
          <w:p w14:paraId="44DA7258"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Semi-structured interviews</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B616FB1" w14:textId="77777777" w:rsidR="00BC16EB" w:rsidRDefault="005714A1">
            <w:pPr>
              <w:widowControl w:val="0"/>
              <w:spacing w:line="48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UK</w:t>
            </w:r>
          </w:p>
        </w:tc>
      </w:tr>
    </w:tbl>
    <w:p w14:paraId="79288D69" w14:textId="77777777" w:rsidR="00BC16EB" w:rsidRDefault="00BC16EB">
      <w:pPr>
        <w:spacing w:line="480" w:lineRule="auto"/>
        <w:jc w:val="both"/>
        <w:rPr>
          <w:rFonts w:ascii="Times New Roman" w:eastAsia="Times New Roman" w:hAnsi="Times New Roman" w:cs="Times New Roman"/>
          <w:b/>
          <w:sz w:val="24"/>
          <w:szCs w:val="24"/>
        </w:rPr>
      </w:pPr>
    </w:p>
    <w:p w14:paraId="7D4DDE78" w14:textId="77777777" w:rsidR="00BC16EB" w:rsidRDefault="00BC16EB">
      <w:pPr>
        <w:spacing w:line="480" w:lineRule="auto"/>
        <w:rPr>
          <w:rFonts w:ascii="Times New Roman" w:eastAsia="Times New Roman" w:hAnsi="Times New Roman" w:cs="Times New Roman"/>
          <w:b/>
          <w:sz w:val="24"/>
          <w:szCs w:val="24"/>
        </w:rPr>
        <w:sectPr w:rsidR="00BC16EB">
          <w:footerReference w:type="even" r:id="rId6"/>
          <w:footerReference w:type="default" r:id="rId7"/>
          <w:footerReference w:type="first" r:id="rId8"/>
          <w:pgSz w:w="16834" w:h="11909" w:orient="landscape"/>
          <w:pgMar w:top="1440" w:right="1440" w:bottom="1440" w:left="1440" w:header="720" w:footer="720" w:gutter="0"/>
          <w:pgNumType w:start="1"/>
          <w:cols w:space="720"/>
        </w:sectPr>
      </w:pPr>
    </w:p>
    <w:p w14:paraId="4F859337" w14:textId="30A9F44B" w:rsidR="00BC16EB" w:rsidRDefault="00BC16EB">
      <w:pPr>
        <w:spacing w:line="480" w:lineRule="auto"/>
        <w:rPr>
          <w:rFonts w:ascii="Times New Roman" w:eastAsia="Times New Roman" w:hAnsi="Times New Roman" w:cs="Times New Roman"/>
          <w:b/>
        </w:rPr>
      </w:pPr>
    </w:p>
    <w:p w14:paraId="526D8929" w14:textId="77777777" w:rsidR="00BC16EB" w:rsidRDefault="00BC16EB">
      <w:pPr>
        <w:spacing w:line="480" w:lineRule="auto"/>
        <w:rPr>
          <w:rFonts w:ascii="Times New Roman" w:eastAsia="Times New Roman" w:hAnsi="Times New Roman" w:cs="Times New Roman"/>
          <w:b/>
        </w:rPr>
      </w:pPr>
    </w:p>
    <w:p w14:paraId="4F33BE1D" w14:textId="77777777" w:rsidR="00BC16EB" w:rsidRDefault="00BC16EB">
      <w:pPr>
        <w:spacing w:line="480" w:lineRule="auto"/>
        <w:rPr>
          <w:rFonts w:ascii="Times New Roman" w:eastAsia="Times New Roman" w:hAnsi="Times New Roman" w:cs="Times New Roman"/>
          <w:b/>
        </w:rPr>
      </w:pPr>
    </w:p>
    <w:sectPr w:rsidR="00BC16EB">
      <w:pgSz w:w="16834" w:h="11909" w:orient="landscape"/>
      <w:pgMar w:top="1700" w:right="1700" w:bottom="1700" w:left="17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E5B0" w14:textId="77777777" w:rsidR="005714A1" w:rsidRDefault="005714A1" w:rsidP="005714A1">
      <w:pPr>
        <w:spacing w:line="240" w:lineRule="auto"/>
      </w:pPr>
      <w:r>
        <w:separator/>
      </w:r>
    </w:p>
  </w:endnote>
  <w:endnote w:type="continuationSeparator" w:id="0">
    <w:p w14:paraId="2D359595" w14:textId="77777777" w:rsidR="005714A1" w:rsidRDefault="005714A1" w:rsidP="005714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2C28" w14:textId="7EFD5C09" w:rsidR="005714A1" w:rsidRDefault="005714A1">
    <w:pPr>
      <w:pStyle w:val="Footer"/>
    </w:pPr>
    <w:r>
      <w:rPr>
        <w:noProof/>
      </w:rPr>
      <mc:AlternateContent>
        <mc:Choice Requires="wps">
          <w:drawing>
            <wp:anchor distT="0" distB="0" distL="0" distR="0" simplePos="0" relativeHeight="251659264" behindDoc="0" locked="0" layoutInCell="1" allowOverlap="1" wp14:anchorId="58C0CE3D" wp14:editId="0A37EB21">
              <wp:simplePos x="635" y="635"/>
              <wp:positionH relativeFrom="page">
                <wp:align>left</wp:align>
              </wp:positionH>
              <wp:positionV relativeFrom="page">
                <wp:align>bottom</wp:align>
              </wp:positionV>
              <wp:extent cx="2085975" cy="344805"/>
              <wp:effectExtent l="0" t="0" r="9525" b="0"/>
              <wp:wrapNone/>
              <wp:docPr id="83228943"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1CD346D7" w14:textId="70516378" w:rsidR="005714A1" w:rsidRPr="005714A1" w:rsidRDefault="005714A1" w:rsidP="005714A1">
                          <w:pPr>
                            <w:rPr>
                              <w:rFonts w:ascii="Rockwell" w:eastAsia="Rockwell" w:hAnsi="Rockwell" w:cs="Rockwell"/>
                              <w:noProof/>
                              <w:color w:val="0078D7"/>
                              <w:sz w:val="18"/>
                              <w:szCs w:val="18"/>
                            </w:rPr>
                          </w:pPr>
                          <w:r w:rsidRPr="005714A1">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C0CE3D"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164.25pt;height:27.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EgIAACIEAAAOAAAAZHJzL2Uyb0RvYy54bWysU99v2jAQfp+0/8Hy+0hgsNGIULFWTJNQ&#10;W4lOfTaOTSLZPss2JOyv39kJ0HZ7mvbinO8u9+P7Pi9uO63IUTjfgCnpeJRTIgyHqjH7kv58Xn+a&#10;U+IDMxVTYERJT8LT2+XHD4vWFmICNahKOIJFjC9aW9I6BFtkmee10MyPwAqDQQlOs4BXt88qx1qs&#10;rlU2yfMvWQuusg648B69932QLlN9KQUPj1J6EYgqKc4W0unSuYtntlywYu+YrRs+jMH+YQrNGoNN&#10;L6XuWWDk4Jo/SumGO/Agw4iDzkDKhou0A24zzt9ts62ZFWkXBMfbC0z+/5XlD8etfXIkdN+gQwIj&#10;IK31hUdn3KeTTscvTkowjhCeLrCJLhCOzkk+n918nVHCMfZ5Op3ns1gmu/5tnQ/fBWgSjZI6pCWh&#10;xY4bH/rUc0psZmDdKJWoUeaNA2tGT3YdMVqh23WkqV6Nv4PqhFs56An3lq8bbL1hPjwxhwzjIqja&#10;8IiHVNCWFAaLkhrcr7/5Yz4Cj1FKWlRMSQ1KmhL1wyAhk9k0z6PC0g0NdzZ2yRjf5LMYNwd9ByjG&#10;Mb4Ly5MZk4M6m9KBfkFRr2I3DDHDsWdJd2fzLvT6xUfBxWqVklBMloWN2VoeS0fMIqDP3QtzdkA9&#10;IF8PcNYUK96B3+fGP71dHQJSkJiJ+PZoDrCjEBO3w6OJSn99T1nXp738DQAA//8DAFBLAwQUAAYA&#10;CAAAACEA5zQB/9sAAAAEAQAADwAAAGRycy9kb3ducmV2LnhtbEyPzU7DMBCE70i8g7VI3KhDSqMq&#10;xKmq8qNeCUhwdOJtHDVep/G2DW+P6QUuK41mNPNtsZpcL044hs6TgvtZAgKp8aajVsHH+8vdEkRg&#10;TUb3nlDBNwZYlddXhc6NP9MbnipuRSyhkGsFlnnIpQyNRafDzA9I0dv50WmOcmylGfU5lrtepkmS&#10;Sac7igtWD7ix2Oyro1OQPb2u7fCZfR12adiG2u+58s9K3d5M60cQjBP/heEXP6JDGZlqfyQTRK8g&#10;PsKXG715ulyAqBUsHuYgy0L+hy9/AAAA//8DAFBLAQItABQABgAIAAAAIQC2gziS/gAAAOEBAAAT&#10;AAAAAAAAAAAAAAAAAAAAAABbQ29udGVudF9UeXBlc10ueG1sUEsBAi0AFAAGAAgAAAAhADj9If/W&#10;AAAAlAEAAAsAAAAAAAAAAAAAAAAALwEAAF9yZWxzLy5yZWxzUEsBAi0AFAAGAAgAAAAhAMr81z8S&#10;AgAAIgQAAA4AAAAAAAAAAAAAAAAALgIAAGRycy9lMm9Eb2MueG1sUEsBAi0AFAAGAAgAAAAhAOc0&#10;Af/bAAAABAEAAA8AAAAAAAAAAAAAAAAAbAQAAGRycy9kb3ducmV2LnhtbFBLBQYAAAAABAAEAPMA&#10;AAB0BQAAAAA=&#10;" filled="f" stroked="f">
              <v:fill o:detectmouseclick="t"/>
              <v:textbox style="mso-fit-shape-to-text:t" inset="20pt,0,0,15pt">
                <w:txbxContent>
                  <w:p w14:paraId="1CD346D7" w14:textId="70516378" w:rsidR="005714A1" w:rsidRPr="005714A1" w:rsidRDefault="005714A1" w:rsidP="005714A1">
                    <w:pPr>
                      <w:rPr>
                        <w:rFonts w:ascii="Rockwell" w:eastAsia="Rockwell" w:hAnsi="Rockwell" w:cs="Rockwell"/>
                        <w:noProof/>
                        <w:color w:val="0078D7"/>
                        <w:sz w:val="18"/>
                        <w:szCs w:val="18"/>
                      </w:rPr>
                    </w:pPr>
                    <w:r w:rsidRPr="005714A1">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7C68B" w14:textId="330D13A9" w:rsidR="005714A1" w:rsidRDefault="005714A1">
    <w:pPr>
      <w:pStyle w:val="Footer"/>
    </w:pPr>
    <w:r>
      <w:rPr>
        <w:noProof/>
      </w:rPr>
      <mc:AlternateContent>
        <mc:Choice Requires="wps">
          <w:drawing>
            <wp:anchor distT="0" distB="0" distL="0" distR="0" simplePos="0" relativeHeight="251660288" behindDoc="0" locked="0" layoutInCell="1" allowOverlap="1" wp14:anchorId="17B81330" wp14:editId="6430C7A2">
              <wp:simplePos x="914400" y="6943725"/>
              <wp:positionH relativeFrom="page">
                <wp:align>left</wp:align>
              </wp:positionH>
              <wp:positionV relativeFrom="page">
                <wp:align>bottom</wp:align>
              </wp:positionV>
              <wp:extent cx="2085975" cy="344805"/>
              <wp:effectExtent l="0" t="0" r="9525" b="0"/>
              <wp:wrapNone/>
              <wp:docPr id="253191295"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6BDC1DEE" w14:textId="76753083" w:rsidR="005714A1" w:rsidRPr="005714A1" w:rsidRDefault="005714A1" w:rsidP="005714A1">
                          <w:pPr>
                            <w:rPr>
                              <w:rFonts w:ascii="Rockwell" w:eastAsia="Rockwell" w:hAnsi="Rockwell" w:cs="Rockwell"/>
                              <w:noProof/>
                              <w:color w:val="0078D7"/>
                              <w:sz w:val="18"/>
                              <w:szCs w:val="18"/>
                            </w:rPr>
                          </w:pPr>
                          <w:r w:rsidRPr="005714A1">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B81330" id="_x0000_t202" coordsize="21600,21600" o:spt="202" path="m,l,21600r21600,l21600,xe">
              <v:stroke joinstyle="miter"/>
              <v:path gradientshapeok="t" o:connecttype="rect"/>
            </v:shapetype>
            <v:shape id="Text Box 3" o:spid="_x0000_s1027" type="#_x0000_t202" alt="Information Classification: General" style="position:absolute;margin-left:0;margin-top:0;width:164.25pt;height:27.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iR9FAIAACIEAAAOAAAAZHJzL2Uyb0RvYy54bWysU99v2jAQfp+0/8Hy+0hgsNGIULFWTJNQ&#10;W4lOfTaOTSLZPss2JOyv39khsHV7qvrinO8u9+P7Pi9uO63IUTjfgCnpeJRTIgyHqjH7kv58Xn+a&#10;U+IDMxVTYERJT8LT2+XHD4vWFmICNahKOIJFjC9aW9I6BFtkmee10MyPwAqDQQlOs4BXt88qx1qs&#10;rlU2yfMvWQuusg648B69932QLlN9KQUPj1J6EYgqKc4W0unSuYtntlywYu+YrRt+HoO9YQrNGoNN&#10;L6XuWWDk4Jp/SumGO/Agw4iDzkDKhou0A24zzl9ts62ZFWkXBMfbC0z+/cryh+PWPjkSum/QIYER&#10;kNb6wqMz7tNJp+MXJyUYRwhPF9hEFwhH5ySfz26+zijhGPs8nc7zWSyTXf+2zofvAjSJRkkd0pLQ&#10;YseND33qkBKbGVg3SiVqlPnLgTWjJ7uOGK3Q7TrSVDjJMP4OqhNu5aAn3Fu+brD1hvnwxBwyjIug&#10;asMjHlJBW1I4W5TU4H79zx/zEXiMUtKiYkpqUNKUqB8GCZnMpnkeFZZuaLjB2CVjfJPPYtwc9B2g&#10;GMf4LixPZkwOajClA/2Col7FbhhihmPPku4G8y70+sVHwcVqlZJQTJaFjdlaHktHzCKgz90Lc/aM&#10;ekC+HmDQFCtegd/nxj+9XR0CUpCYifj2aJ5hRyEmbs+PJir9z3vKuj7t5W8AAAD//wMAUEsDBBQA&#10;BgAIAAAAIQDnNAH/2wAAAAQBAAAPAAAAZHJzL2Rvd25yZXYueG1sTI/NTsMwEITvSLyDtUjcqENK&#10;oyrEqaryo14JSHB04m0cNV6n8bYNb4/pBS4rjWY0822xmlwvTjiGzpOC+1kCAqnxpqNWwcf7y90S&#10;RGBNRveeUME3BliV11eFzo0/0xueKm5FLKGQawWWecilDI1Fp8PMD0jR2/nRaY5ybKUZ9TmWu16m&#10;SZJJpzuKC1YPuLHY7KujU5A9va7t8Jl9HXZp2Iba77nyz0rd3kzrRxCME/+F4Rc/okMZmWp/JBNE&#10;ryA+wpcbvXm6XICoFSwe5iDLQv6HL38AAAD//wMAUEsBAi0AFAAGAAgAAAAhALaDOJL+AAAA4QEA&#10;ABMAAAAAAAAAAAAAAAAAAAAAAFtDb250ZW50X1R5cGVzXS54bWxQSwECLQAUAAYACAAAACEAOP0h&#10;/9YAAACUAQAACwAAAAAAAAAAAAAAAAAvAQAAX3JlbHMvLnJlbHNQSwECLQAUAAYACAAAACEAm2ok&#10;fRQCAAAiBAAADgAAAAAAAAAAAAAAAAAuAgAAZHJzL2Uyb0RvYy54bWxQSwECLQAUAAYACAAAACEA&#10;5zQB/9sAAAAEAQAADwAAAAAAAAAAAAAAAABuBAAAZHJzL2Rvd25yZXYueG1sUEsFBgAAAAAEAAQA&#10;8wAAAHYFAAAAAA==&#10;" filled="f" stroked="f">
              <v:fill o:detectmouseclick="t"/>
              <v:textbox style="mso-fit-shape-to-text:t" inset="20pt,0,0,15pt">
                <w:txbxContent>
                  <w:p w14:paraId="6BDC1DEE" w14:textId="76753083" w:rsidR="005714A1" w:rsidRPr="005714A1" w:rsidRDefault="005714A1" w:rsidP="005714A1">
                    <w:pPr>
                      <w:rPr>
                        <w:rFonts w:ascii="Rockwell" w:eastAsia="Rockwell" w:hAnsi="Rockwell" w:cs="Rockwell"/>
                        <w:noProof/>
                        <w:color w:val="0078D7"/>
                        <w:sz w:val="18"/>
                        <w:szCs w:val="18"/>
                      </w:rPr>
                    </w:pPr>
                    <w:r w:rsidRPr="005714A1">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E0B2F" w14:textId="70D8A077" w:rsidR="005714A1" w:rsidRDefault="005714A1">
    <w:pPr>
      <w:pStyle w:val="Footer"/>
    </w:pPr>
    <w:r>
      <w:rPr>
        <w:noProof/>
      </w:rPr>
      <mc:AlternateContent>
        <mc:Choice Requires="wps">
          <w:drawing>
            <wp:anchor distT="0" distB="0" distL="0" distR="0" simplePos="0" relativeHeight="251658240" behindDoc="0" locked="0" layoutInCell="1" allowOverlap="1" wp14:anchorId="4190DA9C" wp14:editId="2D4EF07A">
              <wp:simplePos x="635" y="635"/>
              <wp:positionH relativeFrom="page">
                <wp:align>left</wp:align>
              </wp:positionH>
              <wp:positionV relativeFrom="page">
                <wp:align>bottom</wp:align>
              </wp:positionV>
              <wp:extent cx="2085975" cy="344805"/>
              <wp:effectExtent l="0" t="0" r="9525" b="0"/>
              <wp:wrapNone/>
              <wp:docPr id="427655243"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2DCC0012" w14:textId="062B796D" w:rsidR="005714A1" w:rsidRPr="005714A1" w:rsidRDefault="005714A1" w:rsidP="005714A1">
                          <w:pPr>
                            <w:rPr>
                              <w:rFonts w:ascii="Rockwell" w:eastAsia="Rockwell" w:hAnsi="Rockwell" w:cs="Rockwell"/>
                              <w:noProof/>
                              <w:color w:val="0078D7"/>
                              <w:sz w:val="18"/>
                              <w:szCs w:val="18"/>
                            </w:rPr>
                          </w:pPr>
                          <w:r w:rsidRPr="005714A1">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90DA9C"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164.25pt;height:27.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3e8EAIAABsEAAAOAAAAZHJzL2Uyb0RvYy54bWysU8Fu2zAMvQ/YPwi6L3ayZEuNOEXWIsOA&#10;oC2QDj0rshQbkERBUmJnXz9KdpKt26noRaZI+pF8fFrcdlqRo3C+AVPS8SinRBgOVWP2Jf35vP40&#10;p8QHZiqmwIiSnoSnt8uPHxatLcQEalCVcARBjC9aW9I6BFtkmee10MyPwAqDQQlOs4BXt88qx1pE&#10;1yqb5PmXrAVXWQdceI/e+z5IlwlfSsHDo5ReBKJKir2FdLp07uKZLRes2Dtm64YPbbA3dKFZY7Do&#10;BeqeBUYOrvkHSjfcgQcZRhx0BlI2XKQZcJpx/mqabc2sSLMgOd5eaPLvB8sfjlv75EjovkGHC4yE&#10;tNYXHp1xnk46Hb/YKcE4Uni60Ca6QDg6J/l8dvN1RgnH2OfpdJ7PIkx2/ds6H74L0CQaJXW4lsQW&#10;O2586FPPKbGYgXWjVFqNMn85EDN6smuL0Qrdrhv63kF1wnEc9Jv2lq8brLlhPjwxh6vFCVCu4REP&#10;qaAtKQwWJTW4X//zx3xkHKOUtCiVkhrUMiXqh8FNTGbTPI/SSjc03NnYJWN8k89i3Bz0HaAKx/gg&#10;LE9mTA7qbEoH+gXVvIrVMMQMx5ol3Z3Nu9ALF18DF6tVSkIVWRY2Zmt5hI5kRSafuxfm7EB3wEU9&#10;wFlMrHjFep8b//R2dQjIfVpJJLZnc+AbFZiWOryWKPE/7ynr+qaXvwEAAP//AwBQSwMEFAAGAAgA&#10;AAAhAOc0Af/bAAAABAEAAA8AAABkcnMvZG93bnJldi54bWxMj81OwzAQhO9IvIO1SNyoQ0qjKsSp&#10;qvKjXglIcHTibRw1Xqfxtg1vj+kFLiuNZjTzbbGaXC9OOIbOk4L7WQICqfGmo1bBx/vL3RJEYE1G&#10;955QwTcGWJXXV4XOjT/TG54qbkUsoZBrBZZ5yKUMjUWnw8wPSNHb+dFpjnJspRn1OZa7XqZJkkmn&#10;O4oLVg+4sdjsq6NTkD29ru3wmX0ddmnYhtrvufLPSt3eTOtHEIwT/4XhFz+iQxmZan8kE0SvID7C&#10;lxu9ebpcgKgVLB7mIMtC/ocvfwAAAP//AwBQSwECLQAUAAYACAAAACEAtoM4kv4AAADhAQAAEwAA&#10;AAAAAAAAAAAAAAAAAAAAW0NvbnRlbnRfVHlwZXNdLnhtbFBLAQItABQABgAIAAAAIQA4/SH/1gAA&#10;AJQBAAALAAAAAAAAAAAAAAAAAC8BAABfcmVscy8ucmVsc1BLAQItABQABgAIAAAAIQAiW3e8EAIA&#10;ABsEAAAOAAAAAAAAAAAAAAAAAC4CAABkcnMvZTJvRG9jLnhtbFBLAQItABQABgAIAAAAIQDnNAH/&#10;2wAAAAQBAAAPAAAAAAAAAAAAAAAAAGoEAABkcnMvZG93bnJldi54bWxQSwUGAAAAAAQABADzAAAA&#10;cgUAAAAA&#10;" filled="f" stroked="f">
              <v:fill o:detectmouseclick="t"/>
              <v:textbox style="mso-fit-shape-to-text:t" inset="20pt,0,0,15pt">
                <w:txbxContent>
                  <w:p w14:paraId="2DCC0012" w14:textId="062B796D" w:rsidR="005714A1" w:rsidRPr="005714A1" w:rsidRDefault="005714A1" w:rsidP="005714A1">
                    <w:pPr>
                      <w:rPr>
                        <w:rFonts w:ascii="Rockwell" w:eastAsia="Rockwell" w:hAnsi="Rockwell" w:cs="Rockwell"/>
                        <w:noProof/>
                        <w:color w:val="0078D7"/>
                        <w:sz w:val="18"/>
                        <w:szCs w:val="18"/>
                      </w:rPr>
                    </w:pPr>
                    <w:r w:rsidRPr="005714A1">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DAD6" w14:textId="77777777" w:rsidR="005714A1" w:rsidRDefault="005714A1" w:rsidP="005714A1">
      <w:pPr>
        <w:spacing w:line="240" w:lineRule="auto"/>
      </w:pPr>
      <w:r>
        <w:separator/>
      </w:r>
    </w:p>
  </w:footnote>
  <w:footnote w:type="continuationSeparator" w:id="0">
    <w:p w14:paraId="2BEFFDAB" w14:textId="77777777" w:rsidR="005714A1" w:rsidRDefault="005714A1" w:rsidP="005714A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6EB"/>
    <w:rsid w:val="005714A1"/>
    <w:rsid w:val="00BC16EB"/>
    <w:rsid w:val="00F31697"/>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8A682"/>
  <w15:docId w15:val="{20424410-10EF-40CD-B1DA-0072F6156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t"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semiHidden/>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paragraph" w:styleId="Heading7">
    <w:name w:val="heading 7"/>
    <w:basedOn w:val="Normal"/>
    <w:next w:val="Normal"/>
    <w:link w:val="Heading7Char"/>
    <w:uiPriority w:val="9"/>
    <w:semiHidden/>
    <w:unhideWhenUsed/>
    <w:qFormat/>
    <w:rsid w:val="005714A1"/>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NZ"/>
      <w14:ligatures w14:val="standardContextual"/>
    </w:rPr>
  </w:style>
  <w:style w:type="paragraph" w:styleId="Heading8">
    <w:name w:val="heading 8"/>
    <w:basedOn w:val="Normal"/>
    <w:next w:val="Normal"/>
    <w:link w:val="Heading8Char"/>
    <w:uiPriority w:val="9"/>
    <w:semiHidden/>
    <w:unhideWhenUsed/>
    <w:qFormat/>
    <w:rsid w:val="005714A1"/>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NZ"/>
      <w14:ligatures w14:val="standardContextual"/>
    </w:rPr>
  </w:style>
  <w:style w:type="paragraph" w:styleId="Heading9">
    <w:name w:val="heading 9"/>
    <w:basedOn w:val="Normal"/>
    <w:next w:val="Normal"/>
    <w:link w:val="Heading9Char"/>
    <w:uiPriority w:val="9"/>
    <w:semiHidden/>
    <w:unhideWhenUsed/>
    <w:qFormat/>
    <w:rsid w:val="005714A1"/>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NZ"/>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70" w:type="dxa"/>
        <w:bottom w:w="0" w:type="dxa"/>
        <w:right w:w="70"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character" w:customStyle="1" w:styleId="Heading7Char">
    <w:name w:val="Heading 7 Char"/>
    <w:basedOn w:val="DefaultParagraphFont"/>
    <w:link w:val="Heading7"/>
    <w:uiPriority w:val="9"/>
    <w:semiHidden/>
    <w:rsid w:val="005714A1"/>
    <w:rPr>
      <w:rFonts w:asciiTheme="minorHAnsi" w:eastAsiaTheme="majorEastAsia" w:hAnsiTheme="minorHAnsi" w:cstheme="majorBidi"/>
      <w:color w:val="595959" w:themeColor="text1" w:themeTint="A6"/>
      <w:kern w:val="2"/>
      <w:sz w:val="24"/>
      <w:szCs w:val="24"/>
      <w:lang w:val="en-NZ"/>
      <w14:ligatures w14:val="standardContextual"/>
    </w:rPr>
  </w:style>
  <w:style w:type="character" w:customStyle="1" w:styleId="Heading8Char">
    <w:name w:val="Heading 8 Char"/>
    <w:basedOn w:val="DefaultParagraphFont"/>
    <w:link w:val="Heading8"/>
    <w:uiPriority w:val="9"/>
    <w:semiHidden/>
    <w:rsid w:val="005714A1"/>
    <w:rPr>
      <w:rFonts w:asciiTheme="minorHAnsi" w:eastAsiaTheme="majorEastAsia" w:hAnsiTheme="minorHAnsi" w:cstheme="majorBidi"/>
      <w:i/>
      <w:iCs/>
      <w:color w:val="272727" w:themeColor="text1" w:themeTint="D8"/>
      <w:kern w:val="2"/>
      <w:sz w:val="24"/>
      <w:szCs w:val="24"/>
      <w:lang w:val="en-NZ"/>
      <w14:ligatures w14:val="standardContextual"/>
    </w:rPr>
  </w:style>
  <w:style w:type="character" w:customStyle="1" w:styleId="Heading9Char">
    <w:name w:val="Heading 9 Char"/>
    <w:basedOn w:val="DefaultParagraphFont"/>
    <w:link w:val="Heading9"/>
    <w:uiPriority w:val="9"/>
    <w:semiHidden/>
    <w:rsid w:val="005714A1"/>
    <w:rPr>
      <w:rFonts w:asciiTheme="minorHAnsi" w:eastAsiaTheme="majorEastAsia" w:hAnsiTheme="minorHAnsi" w:cstheme="majorBidi"/>
      <w:color w:val="272727" w:themeColor="text1" w:themeTint="D8"/>
      <w:kern w:val="2"/>
      <w:sz w:val="24"/>
      <w:szCs w:val="24"/>
      <w:lang w:val="en-NZ"/>
      <w14:ligatures w14:val="standardContextual"/>
    </w:rPr>
  </w:style>
  <w:style w:type="character" w:customStyle="1" w:styleId="Heading1Char">
    <w:name w:val="Heading 1 Char"/>
    <w:basedOn w:val="DefaultParagraphFont"/>
    <w:link w:val="Heading1"/>
    <w:uiPriority w:val="9"/>
    <w:rsid w:val="005714A1"/>
    <w:rPr>
      <w:sz w:val="40"/>
      <w:szCs w:val="40"/>
    </w:rPr>
  </w:style>
  <w:style w:type="character" w:customStyle="1" w:styleId="Heading2Char">
    <w:name w:val="Heading 2 Char"/>
    <w:basedOn w:val="DefaultParagraphFont"/>
    <w:link w:val="Heading2"/>
    <w:uiPriority w:val="9"/>
    <w:semiHidden/>
    <w:rsid w:val="005714A1"/>
    <w:rPr>
      <w:sz w:val="32"/>
      <w:szCs w:val="32"/>
    </w:rPr>
  </w:style>
  <w:style w:type="character" w:customStyle="1" w:styleId="Heading3Char">
    <w:name w:val="Heading 3 Char"/>
    <w:basedOn w:val="DefaultParagraphFont"/>
    <w:link w:val="Heading3"/>
    <w:uiPriority w:val="9"/>
    <w:semiHidden/>
    <w:rsid w:val="005714A1"/>
    <w:rPr>
      <w:color w:val="434343"/>
      <w:sz w:val="28"/>
      <w:szCs w:val="28"/>
    </w:rPr>
  </w:style>
  <w:style w:type="character" w:customStyle="1" w:styleId="Heading4Char">
    <w:name w:val="Heading 4 Char"/>
    <w:basedOn w:val="DefaultParagraphFont"/>
    <w:link w:val="Heading4"/>
    <w:uiPriority w:val="9"/>
    <w:semiHidden/>
    <w:rsid w:val="005714A1"/>
    <w:rPr>
      <w:color w:val="666666"/>
      <w:sz w:val="24"/>
      <w:szCs w:val="24"/>
    </w:rPr>
  </w:style>
  <w:style w:type="character" w:customStyle="1" w:styleId="Heading5Char">
    <w:name w:val="Heading 5 Char"/>
    <w:basedOn w:val="DefaultParagraphFont"/>
    <w:link w:val="Heading5"/>
    <w:uiPriority w:val="9"/>
    <w:semiHidden/>
    <w:rsid w:val="005714A1"/>
    <w:rPr>
      <w:color w:val="666666"/>
    </w:rPr>
  </w:style>
  <w:style w:type="character" w:customStyle="1" w:styleId="Heading6Char">
    <w:name w:val="Heading 6 Char"/>
    <w:basedOn w:val="DefaultParagraphFont"/>
    <w:link w:val="Heading6"/>
    <w:uiPriority w:val="9"/>
    <w:semiHidden/>
    <w:rsid w:val="005714A1"/>
    <w:rPr>
      <w:i/>
      <w:color w:val="666666"/>
    </w:rPr>
  </w:style>
  <w:style w:type="character" w:customStyle="1" w:styleId="TitleChar">
    <w:name w:val="Title Char"/>
    <w:basedOn w:val="DefaultParagraphFont"/>
    <w:link w:val="Title"/>
    <w:uiPriority w:val="10"/>
    <w:rsid w:val="005714A1"/>
    <w:rPr>
      <w:sz w:val="52"/>
      <w:szCs w:val="52"/>
    </w:rPr>
  </w:style>
  <w:style w:type="character" w:customStyle="1" w:styleId="SubtitleChar">
    <w:name w:val="Subtitle Char"/>
    <w:basedOn w:val="DefaultParagraphFont"/>
    <w:link w:val="Subtitle"/>
    <w:uiPriority w:val="11"/>
    <w:rsid w:val="005714A1"/>
    <w:rPr>
      <w:color w:val="666666"/>
      <w:sz w:val="30"/>
      <w:szCs w:val="30"/>
    </w:rPr>
  </w:style>
  <w:style w:type="paragraph" w:styleId="Quote">
    <w:name w:val="Quote"/>
    <w:basedOn w:val="Normal"/>
    <w:next w:val="Normal"/>
    <w:link w:val="QuoteChar"/>
    <w:uiPriority w:val="29"/>
    <w:qFormat/>
    <w:rsid w:val="005714A1"/>
    <w:pPr>
      <w:spacing w:before="160" w:after="160" w:line="278" w:lineRule="auto"/>
      <w:jc w:val="center"/>
    </w:pPr>
    <w:rPr>
      <w:rFonts w:asciiTheme="minorHAnsi" w:eastAsiaTheme="minorEastAsia" w:hAnsiTheme="minorHAnsi" w:cstheme="minorBidi"/>
      <w:i/>
      <w:iCs/>
      <w:color w:val="404040" w:themeColor="text1" w:themeTint="BF"/>
      <w:kern w:val="2"/>
      <w:sz w:val="24"/>
      <w:szCs w:val="24"/>
      <w:lang w:val="en-NZ"/>
      <w14:ligatures w14:val="standardContextual"/>
    </w:rPr>
  </w:style>
  <w:style w:type="character" w:customStyle="1" w:styleId="QuoteChar">
    <w:name w:val="Quote Char"/>
    <w:basedOn w:val="DefaultParagraphFont"/>
    <w:link w:val="Quote"/>
    <w:uiPriority w:val="29"/>
    <w:rsid w:val="005714A1"/>
    <w:rPr>
      <w:rFonts w:asciiTheme="minorHAnsi" w:eastAsiaTheme="minorEastAsia" w:hAnsiTheme="minorHAnsi" w:cstheme="minorBidi"/>
      <w:i/>
      <w:iCs/>
      <w:color w:val="404040" w:themeColor="text1" w:themeTint="BF"/>
      <w:kern w:val="2"/>
      <w:sz w:val="24"/>
      <w:szCs w:val="24"/>
      <w:lang w:val="en-NZ"/>
      <w14:ligatures w14:val="standardContextual"/>
    </w:rPr>
  </w:style>
  <w:style w:type="paragraph" w:styleId="ListParagraph">
    <w:name w:val="List Paragraph"/>
    <w:basedOn w:val="Normal"/>
    <w:uiPriority w:val="34"/>
    <w:qFormat/>
    <w:rsid w:val="005714A1"/>
    <w:pPr>
      <w:spacing w:after="160" w:line="278" w:lineRule="auto"/>
      <w:ind w:left="720"/>
      <w:contextualSpacing/>
    </w:pPr>
    <w:rPr>
      <w:rFonts w:asciiTheme="minorHAnsi" w:eastAsiaTheme="minorEastAsia" w:hAnsiTheme="minorHAnsi" w:cstheme="minorBidi"/>
      <w:kern w:val="2"/>
      <w:sz w:val="24"/>
      <w:szCs w:val="24"/>
      <w:lang w:val="en-NZ"/>
      <w14:ligatures w14:val="standardContextual"/>
    </w:rPr>
  </w:style>
  <w:style w:type="character" w:styleId="IntenseEmphasis">
    <w:name w:val="Intense Emphasis"/>
    <w:basedOn w:val="DefaultParagraphFont"/>
    <w:uiPriority w:val="21"/>
    <w:qFormat/>
    <w:rsid w:val="005714A1"/>
    <w:rPr>
      <w:i/>
      <w:iCs/>
      <w:color w:val="365F91" w:themeColor="accent1" w:themeShade="BF"/>
    </w:rPr>
  </w:style>
  <w:style w:type="paragraph" w:styleId="IntenseQuote">
    <w:name w:val="Intense Quote"/>
    <w:basedOn w:val="Normal"/>
    <w:next w:val="Normal"/>
    <w:link w:val="IntenseQuoteChar"/>
    <w:uiPriority w:val="30"/>
    <w:qFormat/>
    <w:rsid w:val="005714A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EastAsia" w:hAnsiTheme="minorHAnsi" w:cstheme="minorBidi"/>
      <w:i/>
      <w:iCs/>
      <w:color w:val="365F91" w:themeColor="accent1" w:themeShade="BF"/>
      <w:kern w:val="2"/>
      <w:sz w:val="24"/>
      <w:szCs w:val="24"/>
      <w:lang w:val="en-NZ"/>
      <w14:ligatures w14:val="standardContextual"/>
    </w:rPr>
  </w:style>
  <w:style w:type="character" w:customStyle="1" w:styleId="IntenseQuoteChar">
    <w:name w:val="Intense Quote Char"/>
    <w:basedOn w:val="DefaultParagraphFont"/>
    <w:link w:val="IntenseQuote"/>
    <w:uiPriority w:val="30"/>
    <w:rsid w:val="005714A1"/>
    <w:rPr>
      <w:rFonts w:asciiTheme="minorHAnsi" w:eastAsiaTheme="minorEastAsia" w:hAnsiTheme="minorHAnsi" w:cstheme="minorBidi"/>
      <w:i/>
      <w:iCs/>
      <w:color w:val="365F91" w:themeColor="accent1" w:themeShade="BF"/>
      <w:kern w:val="2"/>
      <w:sz w:val="24"/>
      <w:szCs w:val="24"/>
      <w:lang w:val="en-NZ"/>
      <w14:ligatures w14:val="standardContextual"/>
    </w:rPr>
  </w:style>
  <w:style w:type="character" w:styleId="IntenseReference">
    <w:name w:val="Intense Reference"/>
    <w:basedOn w:val="DefaultParagraphFont"/>
    <w:uiPriority w:val="32"/>
    <w:qFormat/>
    <w:rsid w:val="005714A1"/>
    <w:rPr>
      <w:b/>
      <w:bCs/>
      <w:smallCaps/>
      <w:color w:val="365F91" w:themeColor="accent1" w:themeShade="BF"/>
      <w:spacing w:val="5"/>
    </w:rPr>
  </w:style>
  <w:style w:type="paragraph" w:styleId="Footer">
    <w:name w:val="footer"/>
    <w:basedOn w:val="Normal"/>
    <w:link w:val="FooterChar"/>
    <w:uiPriority w:val="99"/>
    <w:unhideWhenUsed/>
    <w:rsid w:val="005714A1"/>
    <w:pPr>
      <w:tabs>
        <w:tab w:val="center" w:pos="4513"/>
        <w:tab w:val="right" w:pos="9026"/>
      </w:tabs>
      <w:spacing w:line="240" w:lineRule="auto"/>
    </w:pPr>
  </w:style>
  <w:style w:type="character" w:customStyle="1" w:styleId="FooterChar">
    <w:name w:val="Footer Char"/>
    <w:basedOn w:val="DefaultParagraphFont"/>
    <w:link w:val="Footer"/>
    <w:uiPriority w:val="99"/>
    <w:rsid w:val="00571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80</Pages>
  <Words>14067</Words>
  <Characters>80188</Characters>
  <Application>Microsoft Office Word</Application>
  <DocSecurity>0</DocSecurity>
  <Lines>668</Lines>
  <Paragraphs>188</Paragraphs>
  <ScaleCrop>false</ScaleCrop>
  <Company/>
  <LinksUpToDate>false</LinksUpToDate>
  <CharactersWithSpaces>94067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Boon</dc:creator>
  <cp:lastModifiedBy>Lee, Boon</cp:lastModifiedBy>
  <cp:revision>2</cp:revision>
  <dcterms:created xsi:type="dcterms:W3CDTF">2026-03-25T21:00:00Z</dcterms:created>
  <dcterms:modified xsi:type="dcterms:W3CDTF">2026-03-25T21:00:00Z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197d804b,4f5f90f,f17647f</vt:lpwstr>
  </property>
  <property fmtid="{D5CDD505-2E9C-101B-9397-08002B2CF9AE}" pid="3" name="ClassificationContentMarkingFooterFontProps">
    <vt:lpwstr>#0078d7,9,Rockwell</vt:lpwstr>
  </property>
  <property fmtid="{D5CDD505-2E9C-101B-9397-08002B2CF9AE}" pid="4" name="ClassificationContentMarkingFooterText">
    <vt:lpwstr>Information Classification: General</vt:lpwstr>
  </property>
  <property fmtid="{D5CDD505-2E9C-101B-9397-08002B2CF9AE}" pid="5" name="MSIP_Label_2bbab825-a111-45e4-86a1-18cee0005896_Enabled">
    <vt:lpwstr>true</vt:lpwstr>
  </property>
  <property fmtid="{D5CDD505-2E9C-101B-9397-08002B2CF9AE}" pid="6" name="MSIP_Label_2bbab825-a111-45e4-86a1-18cee0005896_SetDate">
    <vt:lpwstr>2026-03-25T21:00:27Z</vt:lpwstr>
  </property>
  <property fmtid="{D5CDD505-2E9C-101B-9397-08002B2CF9AE}" pid="7" name="MSIP_Label_2bbab825-a111-45e4-86a1-18cee0005896_Method">
    <vt:lpwstr>Standard</vt:lpwstr>
  </property>
  <property fmtid="{D5CDD505-2E9C-101B-9397-08002B2CF9AE}" pid="8" name="MSIP_Label_2bbab825-a111-45e4-86a1-18cee0005896_Name">
    <vt:lpwstr>2bbab825-a111-45e4-86a1-18cee0005896</vt:lpwstr>
  </property>
  <property fmtid="{D5CDD505-2E9C-101B-9397-08002B2CF9AE}" pid="9" name="MSIP_Label_2bbab825-a111-45e4-86a1-18cee0005896_SiteId">
    <vt:lpwstr>2567d566-604c-408a-8a60-55d0dc9d9d6b</vt:lpwstr>
  </property>
  <property fmtid="{D5CDD505-2E9C-101B-9397-08002B2CF9AE}" pid="10" name="MSIP_Label_2bbab825-a111-45e4-86a1-18cee0005896_ActionId">
    <vt:lpwstr>cb6ae252-7437-492a-8877-0808060449d8</vt:lpwstr>
  </property>
  <property fmtid="{D5CDD505-2E9C-101B-9397-08002B2CF9AE}" pid="11" name="MSIP_Label_2bbab825-a111-45e4-86a1-18cee0005896_ContentBits">
    <vt:lpwstr>2</vt:lpwstr>
  </property>
  <property fmtid="{D5CDD505-2E9C-101B-9397-08002B2CF9AE}" pid="12" name="MSIP_Label_2bbab825-a111-45e4-86a1-18cee0005896_Tag">
    <vt:lpwstr>10, 3, 0, 1</vt:lpwstr>
  </property>
</Properties>
</file>